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2A" w:rsidRDefault="009D182A" w:rsidP="009D182A">
      <w:pPr>
        <w:rPr>
          <w:sz w:val="24"/>
          <w:szCs w:val="24"/>
        </w:rPr>
      </w:pPr>
      <w:r>
        <w:rPr>
          <w:sz w:val="24"/>
          <w:szCs w:val="24"/>
        </w:rPr>
        <w:t>OBIE WILLIAMS, JR</w:t>
      </w:r>
      <w:r>
        <w:rPr>
          <w:sz w:val="24"/>
          <w:szCs w:val="24"/>
        </w:rPr>
        <w:tab/>
      </w:r>
      <w:r>
        <w:rPr>
          <w:sz w:val="24"/>
          <w:szCs w:val="24"/>
        </w:rPr>
        <w:tab/>
      </w:r>
      <w:r>
        <w:rPr>
          <w:sz w:val="24"/>
          <w:szCs w:val="24"/>
        </w:rPr>
        <w:tab/>
      </w:r>
      <w:r>
        <w:rPr>
          <w:sz w:val="24"/>
          <w:szCs w:val="24"/>
        </w:rPr>
        <w:tab/>
        <w:t>:  NUMBER:  526,038</w:t>
      </w:r>
    </w:p>
    <w:p w:rsidR="009D182A" w:rsidRDefault="009D182A" w:rsidP="009D182A">
      <w:pPr>
        <w:rPr>
          <w:sz w:val="24"/>
          <w:szCs w:val="24"/>
        </w:rPr>
      </w:pPr>
    </w:p>
    <w:p w:rsidR="009D182A" w:rsidRDefault="009D182A" w:rsidP="009D182A">
      <w:pPr>
        <w:rPr>
          <w:sz w:val="24"/>
          <w:szCs w:val="24"/>
        </w:rPr>
      </w:pPr>
      <w:r>
        <w:rPr>
          <w:sz w:val="24"/>
          <w:szCs w:val="24"/>
        </w:rPr>
        <w:t>VERSUS</w:t>
      </w:r>
      <w:r>
        <w:rPr>
          <w:sz w:val="24"/>
          <w:szCs w:val="24"/>
        </w:rPr>
        <w:tab/>
      </w:r>
      <w:r>
        <w:rPr>
          <w:sz w:val="24"/>
          <w:szCs w:val="24"/>
        </w:rPr>
        <w:tab/>
      </w:r>
      <w:r>
        <w:rPr>
          <w:sz w:val="24"/>
          <w:szCs w:val="24"/>
        </w:rPr>
        <w:tab/>
      </w:r>
      <w:r>
        <w:rPr>
          <w:sz w:val="24"/>
          <w:szCs w:val="24"/>
        </w:rPr>
        <w:tab/>
      </w:r>
      <w:r>
        <w:rPr>
          <w:sz w:val="24"/>
          <w:szCs w:val="24"/>
        </w:rPr>
        <w:tab/>
      </w:r>
      <w:r>
        <w:rPr>
          <w:sz w:val="24"/>
          <w:szCs w:val="24"/>
        </w:rPr>
        <w:tab/>
        <w:t>:  FIRST JUDICIAL DISTRICT COURT</w:t>
      </w:r>
    </w:p>
    <w:p w:rsidR="009D182A" w:rsidRDefault="009D182A" w:rsidP="009D182A">
      <w:pPr>
        <w:rPr>
          <w:sz w:val="24"/>
          <w:szCs w:val="24"/>
        </w:rPr>
      </w:pPr>
    </w:p>
    <w:p w:rsidR="009D182A" w:rsidRDefault="009D182A" w:rsidP="009D182A">
      <w:pPr>
        <w:rPr>
          <w:sz w:val="24"/>
          <w:szCs w:val="24"/>
        </w:rPr>
      </w:pPr>
      <w:r>
        <w:rPr>
          <w:sz w:val="24"/>
          <w:szCs w:val="24"/>
        </w:rPr>
        <w:t xml:space="preserve">LIBERTY MUTUAL INSURANCE </w:t>
      </w:r>
    </w:p>
    <w:p w:rsidR="002628D2" w:rsidRDefault="009D182A" w:rsidP="009D182A">
      <w:pPr>
        <w:rPr>
          <w:sz w:val="24"/>
          <w:szCs w:val="24"/>
        </w:rPr>
      </w:pPr>
      <w:r>
        <w:rPr>
          <w:sz w:val="24"/>
          <w:szCs w:val="24"/>
        </w:rPr>
        <w:t>COMPANY, ET AL</w:t>
      </w:r>
      <w:r>
        <w:rPr>
          <w:sz w:val="24"/>
          <w:szCs w:val="24"/>
        </w:rPr>
        <w:tab/>
      </w:r>
      <w:r>
        <w:rPr>
          <w:sz w:val="24"/>
          <w:szCs w:val="24"/>
        </w:rPr>
        <w:tab/>
      </w:r>
      <w:r>
        <w:rPr>
          <w:sz w:val="24"/>
          <w:szCs w:val="24"/>
        </w:rPr>
        <w:tab/>
      </w:r>
      <w:r>
        <w:rPr>
          <w:sz w:val="24"/>
          <w:szCs w:val="24"/>
        </w:rPr>
        <w:tab/>
      </w:r>
      <w:r>
        <w:rPr>
          <w:sz w:val="24"/>
          <w:szCs w:val="24"/>
        </w:rPr>
        <w:tab/>
        <w:t>:  CADDO PARISH, LOUISIANA</w:t>
      </w:r>
    </w:p>
    <w:p w:rsidR="009D182A" w:rsidRDefault="009D182A" w:rsidP="009D182A">
      <w:pPr>
        <w:rPr>
          <w:sz w:val="24"/>
          <w:szCs w:val="24"/>
        </w:rPr>
      </w:pPr>
    </w:p>
    <w:p w:rsidR="004C493E" w:rsidRDefault="004C493E" w:rsidP="004C493E">
      <w:pPr>
        <w:jc w:val="center"/>
        <w:rPr>
          <w:b/>
          <w:sz w:val="28"/>
          <w:szCs w:val="28"/>
          <w:u w:val="single"/>
        </w:rPr>
      </w:pPr>
      <w:r>
        <w:rPr>
          <w:b/>
          <w:sz w:val="28"/>
          <w:szCs w:val="28"/>
          <w:u w:val="single"/>
        </w:rPr>
        <w:t xml:space="preserve">REASONS FOR JUDGMENT ON </w:t>
      </w:r>
    </w:p>
    <w:p w:rsidR="00BD5913" w:rsidRDefault="004C493E" w:rsidP="00BD5913">
      <w:pPr>
        <w:jc w:val="center"/>
        <w:rPr>
          <w:b/>
          <w:sz w:val="28"/>
          <w:szCs w:val="28"/>
          <w:u w:val="single"/>
        </w:rPr>
      </w:pPr>
      <w:r>
        <w:rPr>
          <w:b/>
          <w:sz w:val="28"/>
          <w:szCs w:val="28"/>
          <w:u w:val="single"/>
        </w:rPr>
        <w:t xml:space="preserve">MOTION FOR SUMMARY JUDGMENT </w:t>
      </w:r>
    </w:p>
    <w:p w:rsidR="00723DAF" w:rsidRDefault="00723DAF" w:rsidP="00BD5913">
      <w:pPr>
        <w:jc w:val="center"/>
        <w:rPr>
          <w:b/>
          <w:sz w:val="28"/>
          <w:szCs w:val="28"/>
          <w:u w:val="single"/>
        </w:rPr>
      </w:pPr>
      <w:r>
        <w:rPr>
          <w:b/>
          <w:sz w:val="28"/>
          <w:szCs w:val="28"/>
          <w:u w:val="single"/>
        </w:rPr>
        <w:t>(</w:t>
      </w:r>
      <w:proofErr w:type="gramStart"/>
      <w:r>
        <w:rPr>
          <w:b/>
          <w:sz w:val="28"/>
          <w:szCs w:val="28"/>
          <w:u w:val="single"/>
        </w:rPr>
        <w:t>filed</w:t>
      </w:r>
      <w:proofErr w:type="gramEnd"/>
      <w:r>
        <w:rPr>
          <w:b/>
          <w:sz w:val="28"/>
          <w:szCs w:val="28"/>
          <w:u w:val="single"/>
        </w:rPr>
        <w:t xml:space="preserve"> April 18, 2011 by Green Lawn and Maintenance</w:t>
      </w:r>
    </w:p>
    <w:p w:rsidR="00723DAF" w:rsidRDefault="00723DAF" w:rsidP="00BD5913">
      <w:pPr>
        <w:jc w:val="center"/>
        <w:rPr>
          <w:b/>
          <w:sz w:val="28"/>
          <w:szCs w:val="28"/>
          <w:u w:val="single"/>
        </w:rPr>
      </w:pPr>
      <w:r>
        <w:rPr>
          <w:b/>
          <w:sz w:val="28"/>
          <w:szCs w:val="28"/>
          <w:u w:val="single"/>
        </w:rPr>
        <w:t>Construction, L.L.C. and Lafayette Insurance Company)</w:t>
      </w:r>
    </w:p>
    <w:p w:rsidR="004C493E" w:rsidRPr="00A47E69" w:rsidRDefault="004C493E" w:rsidP="004C493E">
      <w:pPr>
        <w:jc w:val="center"/>
        <w:rPr>
          <w:b/>
          <w:sz w:val="28"/>
          <w:szCs w:val="28"/>
          <w:u w:val="single"/>
        </w:rPr>
      </w:pPr>
    </w:p>
    <w:p w:rsidR="004C493E" w:rsidRDefault="004C493E" w:rsidP="004C493E">
      <w:pPr>
        <w:spacing w:line="480" w:lineRule="auto"/>
        <w:rPr>
          <w:sz w:val="24"/>
          <w:szCs w:val="24"/>
        </w:rPr>
      </w:pPr>
      <w:r>
        <w:rPr>
          <w:sz w:val="24"/>
          <w:szCs w:val="24"/>
        </w:rPr>
        <w:tab/>
      </w:r>
      <w:r w:rsidR="005C79A9">
        <w:rPr>
          <w:sz w:val="24"/>
          <w:szCs w:val="24"/>
        </w:rPr>
        <w:t>The Court has thoroughly considered the</w:t>
      </w:r>
      <w:r w:rsidR="00826C63">
        <w:rPr>
          <w:sz w:val="24"/>
          <w:szCs w:val="24"/>
        </w:rPr>
        <w:t xml:space="preserve"> </w:t>
      </w:r>
      <w:r w:rsidR="00BD0165">
        <w:rPr>
          <w:sz w:val="24"/>
          <w:szCs w:val="24"/>
        </w:rPr>
        <w:t xml:space="preserve">Motion for Summary Judgment </w:t>
      </w:r>
      <w:r w:rsidR="007653AA">
        <w:rPr>
          <w:sz w:val="24"/>
          <w:szCs w:val="24"/>
        </w:rPr>
        <w:t xml:space="preserve">filed by </w:t>
      </w:r>
      <w:r w:rsidR="00DD0FF6">
        <w:rPr>
          <w:sz w:val="24"/>
          <w:szCs w:val="24"/>
        </w:rPr>
        <w:t>Green Lawn and Maintenance Construction, L.L.C. and Lafayette Insurance Company (“Green Lawn</w:t>
      </w:r>
      <w:r w:rsidR="00C35EA6">
        <w:rPr>
          <w:sz w:val="24"/>
          <w:szCs w:val="24"/>
        </w:rPr>
        <w:t>”) on April 18, 2011</w:t>
      </w:r>
      <w:r w:rsidR="007653AA">
        <w:rPr>
          <w:sz w:val="24"/>
          <w:szCs w:val="24"/>
        </w:rPr>
        <w:t>;</w:t>
      </w:r>
      <w:r w:rsidR="00DD0FF6">
        <w:rPr>
          <w:sz w:val="24"/>
          <w:szCs w:val="24"/>
        </w:rPr>
        <w:t xml:space="preserve"> </w:t>
      </w:r>
      <w:r w:rsidR="009D570A">
        <w:rPr>
          <w:sz w:val="24"/>
          <w:szCs w:val="24"/>
        </w:rPr>
        <w:t>the Opposition filed by Obie Williams, Jr. (“</w:t>
      </w:r>
      <w:r w:rsidR="00E708E1">
        <w:rPr>
          <w:sz w:val="24"/>
          <w:szCs w:val="24"/>
        </w:rPr>
        <w:t xml:space="preserve">Mr. </w:t>
      </w:r>
      <w:r w:rsidR="009D570A">
        <w:rPr>
          <w:sz w:val="24"/>
          <w:szCs w:val="24"/>
        </w:rPr>
        <w:t>Williams”) on May 5, 2011; the Opposition filed by Liberty Mutual Fire Insurance Company and J.P. Morgan Chase Bank, N.A. (“J.P. Morgan Chase”) on May 9, 2011; the Reply by Green Lawn filed by May 12, 2011; the Supplemental Opposition filed by J.P. Morgan Chase on May 13, 2011</w:t>
      </w:r>
      <w:r w:rsidR="005C79A9">
        <w:rPr>
          <w:sz w:val="24"/>
          <w:szCs w:val="24"/>
        </w:rPr>
        <w:t xml:space="preserve">; oral arguments of counsel held </w:t>
      </w:r>
      <w:r w:rsidR="00DD0FF6">
        <w:rPr>
          <w:sz w:val="24"/>
          <w:szCs w:val="24"/>
        </w:rPr>
        <w:t>May 16</w:t>
      </w:r>
      <w:r w:rsidR="005C79A9">
        <w:rPr>
          <w:sz w:val="24"/>
          <w:szCs w:val="24"/>
        </w:rPr>
        <w:t>, 2011 and applicable law</w:t>
      </w:r>
      <w:r>
        <w:rPr>
          <w:sz w:val="24"/>
          <w:szCs w:val="24"/>
        </w:rPr>
        <w:t xml:space="preserve">.  For reasons which follow, this Court concludes that the </w:t>
      </w:r>
      <w:r w:rsidR="00723DAF">
        <w:rPr>
          <w:sz w:val="24"/>
          <w:szCs w:val="24"/>
        </w:rPr>
        <w:t>m</w:t>
      </w:r>
      <w:r>
        <w:rPr>
          <w:sz w:val="24"/>
          <w:szCs w:val="24"/>
        </w:rPr>
        <w:t>otion</w:t>
      </w:r>
      <w:r w:rsidR="000F3845">
        <w:rPr>
          <w:sz w:val="24"/>
          <w:szCs w:val="24"/>
        </w:rPr>
        <w:t>s</w:t>
      </w:r>
      <w:r>
        <w:rPr>
          <w:sz w:val="24"/>
          <w:szCs w:val="24"/>
        </w:rPr>
        <w:t xml:space="preserve"> for </w:t>
      </w:r>
      <w:r w:rsidR="00723DAF">
        <w:rPr>
          <w:sz w:val="24"/>
          <w:szCs w:val="24"/>
        </w:rPr>
        <w:t>s</w:t>
      </w:r>
      <w:r>
        <w:rPr>
          <w:sz w:val="24"/>
          <w:szCs w:val="24"/>
        </w:rPr>
        <w:t xml:space="preserve">ummary </w:t>
      </w:r>
      <w:r w:rsidR="00723DAF">
        <w:rPr>
          <w:sz w:val="24"/>
          <w:szCs w:val="24"/>
        </w:rPr>
        <w:t>j</w:t>
      </w:r>
      <w:r>
        <w:rPr>
          <w:sz w:val="24"/>
          <w:szCs w:val="24"/>
        </w:rPr>
        <w:t xml:space="preserve">udgment should be </w:t>
      </w:r>
      <w:r w:rsidR="00DD0FF6">
        <w:rPr>
          <w:sz w:val="24"/>
          <w:szCs w:val="24"/>
        </w:rPr>
        <w:t>granted</w:t>
      </w:r>
      <w:r w:rsidR="00723DAF">
        <w:rPr>
          <w:rStyle w:val="FootnoteReference"/>
          <w:sz w:val="24"/>
          <w:szCs w:val="24"/>
        </w:rPr>
        <w:footnoteReference w:id="1"/>
      </w:r>
      <w:r>
        <w:rPr>
          <w:sz w:val="24"/>
          <w:szCs w:val="24"/>
        </w:rPr>
        <w:t xml:space="preserve">. </w:t>
      </w:r>
    </w:p>
    <w:p w:rsidR="00CB2E1C" w:rsidRDefault="00B01AC4" w:rsidP="004C493E">
      <w:pPr>
        <w:spacing w:line="480" w:lineRule="auto"/>
        <w:rPr>
          <w:sz w:val="24"/>
          <w:szCs w:val="24"/>
        </w:rPr>
      </w:pPr>
      <w:r>
        <w:rPr>
          <w:sz w:val="24"/>
          <w:szCs w:val="24"/>
        </w:rPr>
        <w:tab/>
        <w:t>It is not disputed that Green Lawn contracted with J.P. Morgan Chase to maintain the sprinkler system at its West 70</w:t>
      </w:r>
      <w:r w:rsidRPr="00B01AC4">
        <w:rPr>
          <w:sz w:val="24"/>
          <w:szCs w:val="24"/>
          <w:vertAlign w:val="superscript"/>
        </w:rPr>
        <w:t>th</w:t>
      </w:r>
      <w:r>
        <w:rPr>
          <w:sz w:val="24"/>
          <w:szCs w:val="24"/>
        </w:rPr>
        <w:t xml:space="preserve"> Street location in Shreveport, Louisiana.</w:t>
      </w:r>
      <w:r>
        <w:rPr>
          <w:rStyle w:val="FootnoteReference"/>
          <w:sz w:val="24"/>
          <w:szCs w:val="24"/>
        </w:rPr>
        <w:footnoteReference w:id="2"/>
      </w:r>
      <w:r>
        <w:rPr>
          <w:sz w:val="24"/>
          <w:szCs w:val="24"/>
        </w:rPr>
        <w:t xml:space="preserve">  </w:t>
      </w:r>
      <w:r w:rsidR="003F4D59">
        <w:rPr>
          <w:sz w:val="24"/>
          <w:szCs w:val="24"/>
        </w:rPr>
        <w:t xml:space="preserve">In order to succeed in his claim </w:t>
      </w:r>
      <w:r w:rsidR="00723DAF">
        <w:rPr>
          <w:sz w:val="24"/>
          <w:szCs w:val="24"/>
        </w:rPr>
        <w:t xml:space="preserve">Mr. </w:t>
      </w:r>
      <w:r w:rsidR="003F4D59">
        <w:rPr>
          <w:sz w:val="24"/>
          <w:szCs w:val="24"/>
        </w:rPr>
        <w:t>William</w:t>
      </w:r>
      <w:r w:rsidR="00723DAF">
        <w:rPr>
          <w:sz w:val="24"/>
          <w:szCs w:val="24"/>
        </w:rPr>
        <w:t xml:space="preserve">s </w:t>
      </w:r>
      <w:r w:rsidR="003F4D59">
        <w:rPr>
          <w:sz w:val="24"/>
          <w:szCs w:val="24"/>
        </w:rPr>
        <w:t xml:space="preserve">must show that Green Lawn breached its contractual duty to maintain the sprinkler system and that this breach caused his injuries.  </w:t>
      </w:r>
      <w:r w:rsidR="0062690E">
        <w:rPr>
          <w:sz w:val="24"/>
          <w:szCs w:val="24"/>
        </w:rPr>
        <w:t xml:space="preserve">There has been no evidence presented </w:t>
      </w:r>
      <w:r w:rsidR="00E817A5">
        <w:rPr>
          <w:sz w:val="24"/>
          <w:szCs w:val="24"/>
        </w:rPr>
        <w:t xml:space="preserve">to show that the ice patch on which Mr. Williams slipped was caused by the sprinkler system.  </w:t>
      </w:r>
      <w:r w:rsidR="0062690E">
        <w:rPr>
          <w:sz w:val="24"/>
          <w:szCs w:val="24"/>
        </w:rPr>
        <w:t xml:space="preserve">Further, there is no evidence </w:t>
      </w:r>
      <w:r w:rsidR="00E817A5">
        <w:rPr>
          <w:sz w:val="24"/>
          <w:szCs w:val="24"/>
        </w:rPr>
        <w:t xml:space="preserve">that Green Lawn violated any duty owed to Mr. Williams or to J.P. Morgan Chase.  </w:t>
      </w:r>
    </w:p>
    <w:p w:rsidR="00E76A98" w:rsidRDefault="00E76A98" w:rsidP="004C493E">
      <w:pPr>
        <w:spacing w:line="480" w:lineRule="auto"/>
        <w:rPr>
          <w:sz w:val="24"/>
          <w:szCs w:val="24"/>
        </w:rPr>
      </w:pPr>
      <w:r>
        <w:rPr>
          <w:sz w:val="24"/>
          <w:szCs w:val="24"/>
        </w:rPr>
        <w:tab/>
        <w:t>R</w:t>
      </w:r>
      <w:r w:rsidR="00D2754D">
        <w:rPr>
          <w:sz w:val="24"/>
          <w:szCs w:val="24"/>
        </w:rPr>
        <w:t>oderick Williams, J.P. Morgan Chase’s branch manager, testified that</w:t>
      </w:r>
      <w:r w:rsidR="007612FC">
        <w:rPr>
          <w:sz w:val="24"/>
          <w:szCs w:val="24"/>
        </w:rPr>
        <w:t xml:space="preserve"> there were only two small patches of ice on the sidewalk on the morning of Mr. Williams’ accident.</w:t>
      </w:r>
      <w:r w:rsidR="007612FC">
        <w:rPr>
          <w:rStyle w:val="FootnoteReference"/>
          <w:sz w:val="24"/>
          <w:szCs w:val="24"/>
        </w:rPr>
        <w:footnoteReference w:id="3"/>
      </w:r>
      <w:r w:rsidR="00A7409F">
        <w:rPr>
          <w:sz w:val="24"/>
          <w:szCs w:val="24"/>
        </w:rPr>
        <w:t xml:space="preserve">  Though it </w:t>
      </w:r>
      <w:r w:rsidR="00B8503A">
        <w:rPr>
          <w:sz w:val="24"/>
          <w:szCs w:val="24"/>
        </w:rPr>
        <w:t>was</w:t>
      </w:r>
      <w:r w:rsidR="00A7409F">
        <w:rPr>
          <w:sz w:val="24"/>
          <w:szCs w:val="24"/>
        </w:rPr>
        <w:t xml:space="preserve"> suggested that the ice patches may have been the result of water from the sprinkler system, Roderick Williams testified that he had no factual basis for that suggestion.</w:t>
      </w:r>
      <w:r w:rsidR="00A7409F">
        <w:rPr>
          <w:rStyle w:val="FootnoteReference"/>
          <w:sz w:val="24"/>
          <w:szCs w:val="24"/>
        </w:rPr>
        <w:footnoteReference w:id="4"/>
      </w:r>
      <w:r w:rsidR="008D4D79">
        <w:rPr>
          <w:sz w:val="24"/>
          <w:szCs w:val="24"/>
        </w:rPr>
        <w:t xml:space="preserve">  The sprinkler system was turned off in late August 2007 and </w:t>
      </w:r>
      <w:r w:rsidR="00723DAF">
        <w:rPr>
          <w:sz w:val="24"/>
          <w:szCs w:val="24"/>
        </w:rPr>
        <w:t xml:space="preserve">remained off </w:t>
      </w:r>
      <w:r w:rsidR="008D4D79">
        <w:rPr>
          <w:sz w:val="24"/>
          <w:szCs w:val="24"/>
        </w:rPr>
        <w:t xml:space="preserve">as of January 2, 2008, the date of </w:t>
      </w:r>
      <w:proofErr w:type="gramStart"/>
      <w:r w:rsidR="008D4D79">
        <w:rPr>
          <w:sz w:val="24"/>
          <w:szCs w:val="24"/>
        </w:rPr>
        <w:lastRenderedPageBreak/>
        <w:t>Mr. Williams’ accident.</w:t>
      </w:r>
      <w:proofErr w:type="gramEnd"/>
      <w:r w:rsidR="008D4D79">
        <w:rPr>
          <w:rStyle w:val="FootnoteReference"/>
          <w:sz w:val="24"/>
          <w:szCs w:val="24"/>
        </w:rPr>
        <w:footnoteReference w:id="5"/>
      </w:r>
      <w:r w:rsidR="00A7409F">
        <w:rPr>
          <w:sz w:val="24"/>
          <w:szCs w:val="24"/>
        </w:rPr>
        <w:t xml:space="preserve">  Both Roderick Williams and Todd </w:t>
      </w:r>
      <w:proofErr w:type="spellStart"/>
      <w:r w:rsidR="00A7409F">
        <w:rPr>
          <w:sz w:val="24"/>
          <w:szCs w:val="24"/>
        </w:rPr>
        <w:t>Cloinger</w:t>
      </w:r>
      <w:proofErr w:type="spellEnd"/>
      <w:r w:rsidR="00A7409F">
        <w:rPr>
          <w:sz w:val="24"/>
          <w:szCs w:val="24"/>
        </w:rPr>
        <w:t>, owner of Green Lawn, testified that they were not aware of any malfunction of the sprinkler system.</w:t>
      </w:r>
      <w:r w:rsidR="00A7409F">
        <w:rPr>
          <w:rStyle w:val="FootnoteReference"/>
          <w:sz w:val="24"/>
          <w:szCs w:val="24"/>
        </w:rPr>
        <w:footnoteReference w:id="6"/>
      </w:r>
    </w:p>
    <w:p w:rsidR="00E708E1" w:rsidRDefault="00A67A37" w:rsidP="004C493E">
      <w:pPr>
        <w:spacing w:line="480" w:lineRule="auto"/>
        <w:rPr>
          <w:sz w:val="24"/>
          <w:szCs w:val="24"/>
        </w:rPr>
      </w:pPr>
      <w:r>
        <w:rPr>
          <w:sz w:val="24"/>
          <w:szCs w:val="24"/>
        </w:rPr>
        <w:tab/>
        <w:t>Despite speculation on the part of J.P. Morgan Chase, t</w:t>
      </w:r>
      <w:r w:rsidR="00E708E1">
        <w:rPr>
          <w:sz w:val="24"/>
          <w:szCs w:val="24"/>
        </w:rPr>
        <w:t xml:space="preserve">here has been no evidence presented by Mr. Williams or J.P. Morgan Chase to refute the supporting evidence presented by Green Lawn.  </w:t>
      </w:r>
      <w:r w:rsidR="00CF39E4">
        <w:rPr>
          <w:sz w:val="24"/>
          <w:szCs w:val="24"/>
        </w:rPr>
        <w:t xml:space="preserve">Green Lawn inspected the system weekly pursuant to its contract with J.P. Morgan Chase.  The system had been turned off for several months at the time of the accident.  There were no defects or malfunctions noticed by Green Lawn, nor were any reported by J.P. Morgan Chase.  There is </w:t>
      </w:r>
      <w:r w:rsidR="00723DAF">
        <w:rPr>
          <w:sz w:val="24"/>
          <w:szCs w:val="24"/>
        </w:rPr>
        <w:t xml:space="preserve">not a scintilla </w:t>
      </w:r>
      <w:r w:rsidR="00CF39E4">
        <w:rPr>
          <w:sz w:val="24"/>
          <w:szCs w:val="24"/>
        </w:rPr>
        <w:t xml:space="preserve">of evidence to support J.P. Morgan Chase’s suggestion that the ice patches were a result of water from the sprinkler system.  </w:t>
      </w:r>
    </w:p>
    <w:p w:rsidR="004C493E" w:rsidRDefault="004C493E" w:rsidP="004C493E">
      <w:pPr>
        <w:spacing w:line="480" w:lineRule="auto"/>
        <w:ind w:firstLine="720"/>
        <w:rPr>
          <w:sz w:val="24"/>
          <w:szCs w:val="24"/>
        </w:rPr>
      </w:pPr>
      <w:r>
        <w:rPr>
          <w:sz w:val="24"/>
          <w:szCs w:val="24"/>
        </w:rPr>
        <w:t>For reasons assigned, the Court concludes that</w:t>
      </w:r>
      <w:r w:rsidRPr="00B8039B">
        <w:rPr>
          <w:sz w:val="24"/>
          <w:szCs w:val="24"/>
        </w:rPr>
        <w:t xml:space="preserve"> </w:t>
      </w:r>
      <w:r>
        <w:rPr>
          <w:sz w:val="24"/>
          <w:szCs w:val="24"/>
        </w:rPr>
        <w:t>the</w:t>
      </w:r>
      <w:r w:rsidR="00E7719F">
        <w:rPr>
          <w:sz w:val="24"/>
          <w:szCs w:val="24"/>
        </w:rPr>
        <w:t xml:space="preserve"> </w:t>
      </w:r>
      <w:r w:rsidR="00723DAF">
        <w:rPr>
          <w:sz w:val="24"/>
          <w:szCs w:val="24"/>
        </w:rPr>
        <w:t>m</w:t>
      </w:r>
      <w:r w:rsidR="00E7719F">
        <w:rPr>
          <w:sz w:val="24"/>
          <w:szCs w:val="24"/>
        </w:rPr>
        <w:t xml:space="preserve">otions for </w:t>
      </w:r>
      <w:r w:rsidR="00723DAF">
        <w:rPr>
          <w:sz w:val="24"/>
          <w:szCs w:val="24"/>
        </w:rPr>
        <w:t>s</w:t>
      </w:r>
      <w:r w:rsidR="00E7719F">
        <w:rPr>
          <w:sz w:val="24"/>
          <w:szCs w:val="24"/>
        </w:rPr>
        <w:t xml:space="preserve">ummary </w:t>
      </w:r>
      <w:r w:rsidR="00723DAF">
        <w:rPr>
          <w:sz w:val="24"/>
          <w:szCs w:val="24"/>
        </w:rPr>
        <w:t>j</w:t>
      </w:r>
      <w:r w:rsidR="00E7719F">
        <w:rPr>
          <w:sz w:val="24"/>
          <w:szCs w:val="24"/>
        </w:rPr>
        <w:t xml:space="preserve">udgment should be </w:t>
      </w:r>
      <w:r w:rsidR="005A530A">
        <w:rPr>
          <w:sz w:val="24"/>
          <w:szCs w:val="24"/>
        </w:rPr>
        <w:t>granted</w:t>
      </w:r>
      <w:r>
        <w:rPr>
          <w:sz w:val="24"/>
          <w:szCs w:val="24"/>
        </w:rPr>
        <w:t xml:space="preserve">.  </w:t>
      </w:r>
    </w:p>
    <w:p w:rsidR="00723DAF" w:rsidRDefault="00723DAF" w:rsidP="004C493E">
      <w:pPr>
        <w:spacing w:line="480" w:lineRule="auto"/>
        <w:ind w:firstLine="720"/>
        <w:rPr>
          <w:sz w:val="24"/>
          <w:szCs w:val="24"/>
        </w:rPr>
      </w:pPr>
      <w:r>
        <w:rPr>
          <w:sz w:val="24"/>
          <w:szCs w:val="24"/>
        </w:rPr>
        <w:t>Counsel shall submit a formal Judgment in accordance with La. Dist. Ct. R. 9.5.</w:t>
      </w:r>
    </w:p>
    <w:p w:rsidR="004C493E" w:rsidRDefault="004C493E" w:rsidP="00D13F05">
      <w:pPr>
        <w:spacing w:line="480" w:lineRule="auto"/>
        <w:ind w:firstLine="720"/>
        <w:rPr>
          <w:sz w:val="24"/>
          <w:szCs w:val="24"/>
        </w:rPr>
      </w:pPr>
      <w:r>
        <w:rPr>
          <w:sz w:val="24"/>
          <w:szCs w:val="24"/>
        </w:rPr>
        <w:t>Signed th</w:t>
      </w:r>
      <w:r w:rsidR="00B80470">
        <w:rPr>
          <w:sz w:val="24"/>
          <w:szCs w:val="24"/>
        </w:rPr>
        <w:t xml:space="preserve">is </w:t>
      </w:r>
      <w:r w:rsidR="00723DAF">
        <w:rPr>
          <w:sz w:val="24"/>
          <w:szCs w:val="24"/>
        </w:rPr>
        <w:t>24</w:t>
      </w:r>
      <w:r w:rsidR="00723DAF" w:rsidRPr="00723DAF">
        <w:rPr>
          <w:sz w:val="24"/>
          <w:szCs w:val="24"/>
          <w:vertAlign w:val="superscript"/>
        </w:rPr>
        <w:t>th</w:t>
      </w:r>
      <w:r w:rsidR="00723DAF">
        <w:rPr>
          <w:sz w:val="24"/>
          <w:szCs w:val="24"/>
        </w:rPr>
        <w:t xml:space="preserve"> </w:t>
      </w:r>
      <w:r w:rsidR="00B80470">
        <w:rPr>
          <w:sz w:val="24"/>
          <w:szCs w:val="24"/>
        </w:rPr>
        <w:t xml:space="preserve">day of </w:t>
      </w:r>
      <w:r w:rsidR="005A530A">
        <w:rPr>
          <w:sz w:val="24"/>
          <w:szCs w:val="24"/>
        </w:rPr>
        <w:t>May</w:t>
      </w:r>
      <w:r w:rsidR="00B80470">
        <w:rPr>
          <w:sz w:val="24"/>
          <w:szCs w:val="24"/>
        </w:rPr>
        <w:t xml:space="preserve"> 2011</w:t>
      </w:r>
      <w:r>
        <w:rPr>
          <w:sz w:val="24"/>
          <w:szCs w:val="24"/>
        </w:rPr>
        <w:t xml:space="preserve"> in Shreveport, Caddo Parish, </w:t>
      </w:r>
      <w:proofErr w:type="gramStart"/>
      <w:r>
        <w:rPr>
          <w:sz w:val="24"/>
          <w:szCs w:val="24"/>
        </w:rPr>
        <w:t>Louisiana</w:t>
      </w:r>
      <w:proofErr w:type="gramEnd"/>
      <w:r>
        <w:rPr>
          <w:sz w:val="24"/>
          <w:szCs w:val="24"/>
        </w:rPr>
        <w:t>.</w:t>
      </w:r>
    </w:p>
    <w:p w:rsidR="004C493E" w:rsidRDefault="00723DAF" w:rsidP="004C493E">
      <w:pPr>
        <w:rPr>
          <w:sz w:val="24"/>
          <w:szCs w:val="24"/>
        </w:rPr>
      </w:pPr>
      <w:r>
        <w:rPr>
          <w:sz w:val="24"/>
          <w:szCs w:val="24"/>
        </w:rPr>
        <w:tab/>
      </w:r>
      <w:r w:rsidR="004C493E">
        <w:rPr>
          <w:sz w:val="24"/>
          <w:szCs w:val="24"/>
        </w:rPr>
        <w:tab/>
      </w:r>
      <w:r w:rsidR="004C493E">
        <w:rPr>
          <w:sz w:val="24"/>
          <w:szCs w:val="24"/>
        </w:rPr>
        <w:tab/>
      </w:r>
      <w:r w:rsidR="004C493E">
        <w:rPr>
          <w:sz w:val="24"/>
          <w:szCs w:val="24"/>
        </w:rPr>
        <w:tab/>
      </w:r>
      <w:r w:rsidR="004C493E">
        <w:rPr>
          <w:sz w:val="24"/>
          <w:szCs w:val="24"/>
        </w:rPr>
        <w:tab/>
      </w:r>
      <w:r w:rsidR="004C493E">
        <w:rPr>
          <w:sz w:val="24"/>
          <w:szCs w:val="24"/>
        </w:rPr>
        <w:tab/>
      </w:r>
      <w:r w:rsidR="004C493E">
        <w:rPr>
          <w:sz w:val="24"/>
          <w:szCs w:val="24"/>
        </w:rPr>
        <w:tab/>
        <w:t>____________________________</w:t>
      </w:r>
      <w:bookmarkStart w:id="0" w:name="_GoBack"/>
      <w:bookmarkEnd w:id="0"/>
    </w:p>
    <w:p w:rsidR="004C493E" w:rsidRDefault="004C493E" w:rsidP="004C493E">
      <w:pPr>
        <w:rPr>
          <w:sz w:val="24"/>
          <w:szCs w:val="24"/>
        </w:rPr>
      </w:pPr>
      <w:r>
        <w:rPr>
          <w:sz w:val="24"/>
          <w:szCs w:val="24"/>
        </w:rPr>
        <w:tab/>
      </w:r>
      <w:r w:rsidR="00723DAF">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SCOTT J. CRICHTON</w:t>
      </w:r>
    </w:p>
    <w:p w:rsidR="004C493E" w:rsidRDefault="004C493E" w:rsidP="004C493E">
      <w:pPr>
        <w:rPr>
          <w:sz w:val="24"/>
          <w:szCs w:val="24"/>
        </w:rPr>
      </w:pPr>
      <w:r>
        <w:rPr>
          <w:sz w:val="24"/>
          <w:szCs w:val="24"/>
        </w:rPr>
        <w:t xml:space="preserve">                        </w:t>
      </w:r>
      <w:r w:rsidR="00723DAF">
        <w:rPr>
          <w:sz w:val="24"/>
          <w:szCs w:val="24"/>
        </w:rPr>
        <w:tab/>
      </w:r>
      <w:r>
        <w:rPr>
          <w:sz w:val="24"/>
          <w:szCs w:val="24"/>
        </w:rPr>
        <w:t xml:space="preserve">                                                          DISTRICT JUDGE</w:t>
      </w:r>
    </w:p>
    <w:p w:rsidR="004C493E" w:rsidRDefault="004C493E" w:rsidP="004C493E">
      <w:pPr>
        <w:spacing w:line="480" w:lineRule="auto"/>
        <w:rPr>
          <w:sz w:val="24"/>
          <w:szCs w:val="24"/>
        </w:rPr>
      </w:pPr>
    </w:p>
    <w:p w:rsidR="00944BC9" w:rsidRDefault="00944BC9" w:rsidP="00944BC9">
      <w:pPr>
        <w:spacing w:line="480" w:lineRule="auto"/>
        <w:rPr>
          <w:sz w:val="24"/>
          <w:szCs w:val="24"/>
        </w:rPr>
      </w:pPr>
      <w:r>
        <w:rPr>
          <w:sz w:val="24"/>
          <w:szCs w:val="24"/>
          <w:u w:val="single"/>
        </w:rPr>
        <w:t>DISTRIBUTION</w:t>
      </w:r>
      <w:r>
        <w:rPr>
          <w:sz w:val="24"/>
          <w:szCs w:val="24"/>
        </w:rPr>
        <w:t>:</w:t>
      </w:r>
    </w:p>
    <w:p w:rsidR="00FC1AB7" w:rsidRDefault="00FC1AB7" w:rsidP="00FC1AB7">
      <w:pPr>
        <w:rPr>
          <w:sz w:val="24"/>
          <w:szCs w:val="24"/>
        </w:rPr>
      </w:pPr>
      <w:r>
        <w:rPr>
          <w:sz w:val="24"/>
          <w:szCs w:val="24"/>
        </w:rPr>
        <w:t xml:space="preserve">Michael </w:t>
      </w:r>
      <w:r w:rsidR="00723DAF">
        <w:rPr>
          <w:sz w:val="24"/>
          <w:szCs w:val="24"/>
        </w:rPr>
        <w:t xml:space="preserve">J. </w:t>
      </w:r>
      <w:proofErr w:type="spellStart"/>
      <w:r>
        <w:rPr>
          <w:sz w:val="24"/>
          <w:szCs w:val="24"/>
        </w:rPr>
        <w:t>Vergis</w:t>
      </w:r>
      <w:proofErr w:type="spellEnd"/>
      <w:r>
        <w:rPr>
          <w:sz w:val="24"/>
          <w:szCs w:val="24"/>
        </w:rPr>
        <w:t>, counsel for Obie Williams, Jr.</w:t>
      </w:r>
    </w:p>
    <w:p w:rsidR="00FC1AB7" w:rsidRDefault="00FC1AB7" w:rsidP="00FC1AB7">
      <w:pPr>
        <w:rPr>
          <w:sz w:val="24"/>
          <w:szCs w:val="24"/>
        </w:rPr>
      </w:pPr>
      <w:r>
        <w:rPr>
          <w:sz w:val="24"/>
          <w:szCs w:val="24"/>
        </w:rPr>
        <w:t xml:space="preserve">James </w:t>
      </w:r>
      <w:r w:rsidR="00723DAF">
        <w:rPr>
          <w:sz w:val="24"/>
          <w:szCs w:val="24"/>
        </w:rPr>
        <w:t xml:space="preserve">A. </w:t>
      </w:r>
      <w:r>
        <w:rPr>
          <w:sz w:val="24"/>
          <w:szCs w:val="24"/>
        </w:rPr>
        <w:t>Mijalis</w:t>
      </w:r>
      <w:r w:rsidR="00723DAF">
        <w:rPr>
          <w:sz w:val="24"/>
          <w:szCs w:val="24"/>
        </w:rPr>
        <w:t xml:space="preserve"> and Alex Mijalis</w:t>
      </w:r>
      <w:r>
        <w:rPr>
          <w:sz w:val="24"/>
          <w:szCs w:val="24"/>
        </w:rPr>
        <w:t>,</w:t>
      </w:r>
      <w:r w:rsidR="00723DAF">
        <w:rPr>
          <w:sz w:val="24"/>
          <w:szCs w:val="24"/>
        </w:rPr>
        <w:t xml:space="preserve"> </w:t>
      </w:r>
      <w:r>
        <w:rPr>
          <w:sz w:val="24"/>
          <w:szCs w:val="24"/>
        </w:rPr>
        <w:t>counsel for Green Lawn and Maintenance Construction, L.L.C. and Lafayette Insurance Company</w:t>
      </w:r>
    </w:p>
    <w:p w:rsidR="00FC1AB7" w:rsidRDefault="00FC1AB7" w:rsidP="00FC1AB7">
      <w:pPr>
        <w:rPr>
          <w:sz w:val="24"/>
          <w:szCs w:val="24"/>
        </w:rPr>
      </w:pPr>
      <w:r>
        <w:rPr>
          <w:sz w:val="24"/>
          <w:szCs w:val="24"/>
        </w:rPr>
        <w:t xml:space="preserve">Devin </w:t>
      </w:r>
      <w:proofErr w:type="spellStart"/>
      <w:r>
        <w:rPr>
          <w:sz w:val="24"/>
          <w:szCs w:val="24"/>
        </w:rPr>
        <w:t>Fadaol</w:t>
      </w:r>
      <w:proofErr w:type="spellEnd"/>
      <w:r w:rsidR="00723DAF">
        <w:rPr>
          <w:sz w:val="24"/>
          <w:szCs w:val="24"/>
        </w:rPr>
        <w:t xml:space="preserve"> and Heather Nagel,</w:t>
      </w:r>
      <w:r>
        <w:rPr>
          <w:sz w:val="24"/>
          <w:szCs w:val="24"/>
        </w:rPr>
        <w:t xml:space="preserve"> counsel for Liberty Mutual Fire Insurance Company and J.P. Morgan Chase Bank, N.A.</w:t>
      </w:r>
    </w:p>
    <w:p w:rsidR="00944BC9" w:rsidRDefault="00944BC9" w:rsidP="00944BC9">
      <w:pPr>
        <w:rPr>
          <w:sz w:val="24"/>
          <w:szCs w:val="24"/>
        </w:rPr>
      </w:pPr>
    </w:p>
    <w:p w:rsidR="004C493E" w:rsidRPr="003E406E" w:rsidRDefault="004C493E">
      <w:pPr>
        <w:rPr>
          <w:sz w:val="24"/>
          <w:szCs w:val="24"/>
        </w:rPr>
      </w:pPr>
    </w:p>
    <w:sectPr w:rsidR="004C493E" w:rsidRPr="003E406E" w:rsidSect="004C493E">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D0" w:rsidRDefault="00855DD0" w:rsidP="00FB4668">
      <w:r>
        <w:separator/>
      </w:r>
    </w:p>
  </w:endnote>
  <w:endnote w:type="continuationSeparator" w:id="0">
    <w:p w:rsidR="00855DD0" w:rsidRDefault="00855DD0" w:rsidP="00FB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D0" w:rsidRDefault="00855DD0" w:rsidP="00FB4668">
      <w:r>
        <w:separator/>
      </w:r>
    </w:p>
  </w:footnote>
  <w:footnote w:type="continuationSeparator" w:id="0">
    <w:p w:rsidR="00855DD0" w:rsidRDefault="00855DD0" w:rsidP="00FB4668">
      <w:r>
        <w:continuationSeparator/>
      </w:r>
    </w:p>
  </w:footnote>
  <w:footnote w:id="1">
    <w:p w:rsidR="00723DAF" w:rsidRDefault="00723DAF">
      <w:pPr>
        <w:pStyle w:val="FootnoteText"/>
      </w:pPr>
      <w:r>
        <w:rPr>
          <w:rStyle w:val="FootnoteReference"/>
        </w:rPr>
        <w:footnoteRef/>
      </w:r>
      <w:r>
        <w:t xml:space="preserve"> On May 16, 2011 the Court issued a bench ruling, assigning reasons therefor, granting the Motion for Summary Judgment filed by PM Realty Group, LP.</w:t>
      </w:r>
    </w:p>
  </w:footnote>
  <w:footnote w:id="2">
    <w:p w:rsidR="00B01AC4" w:rsidRDefault="00B01AC4">
      <w:pPr>
        <w:pStyle w:val="FootnoteText"/>
      </w:pPr>
      <w:r>
        <w:rPr>
          <w:rStyle w:val="FootnoteReference"/>
        </w:rPr>
        <w:footnoteRef/>
      </w:r>
      <w:r>
        <w:t xml:space="preserve"> Opposition to Motion for Summary Judgment, Exhibit C</w:t>
      </w:r>
    </w:p>
  </w:footnote>
  <w:footnote w:id="3">
    <w:p w:rsidR="007612FC" w:rsidRDefault="007612FC">
      <w:pPr>
        <w:pStyle w:val="FootnoteText"/>
      </w:pPr>
      <w:r>
        <w:rPr>
          <w:rStyle w:val="FootnoteReference"/>
        </w:rPr>
        <w:footnoteRef/>
      </w:r>
      <w:r>
        <w:t xml:space="preserve"> Deposition of Roderick Williams, pg. 49, lines 14-17</w:t>
      </w:r>
    </w:p>
  </w:footnote>
  <w:footnote w:id="4">
    <w:p w:rsidR="00A7409F" w:rsidRDefault="00A7409F">
      <w:pPr>
        <w:pStyle w:val="FootnoteText"/>
      </w:pPr>
      <w:r>
        <w:rPr>
          <w:rStyle w:val="FootnoteReference"/>
        </w:rPr>
        <w:footnoteRef/>
      </w:r>
      <w:r>
        <w:t xml:space="preserve"> Deposition of Roderick Williams, pg. 56, lines 14-24</w:t>
      </w:r>
    </w:p>
  </w:footnote>
  <w:footnote w:id="5">
    <w:p w:rsidR="008D4D79" w:rsidRDefault="008D4D79">
      <w:pPr>
        <w:pStyle w:val="FootnoteText"/>
      </w:pPr>
      <w:r>
        <w:rPr>
          <w:rStyle w:val="FootnoteReference"/>
        </w:rPr>
        <w:footnoteRef/>
      </w:r>
      <w:r>
        <w:t xml:space="preserve"> Deposition of Todd </w:t>
      </w:r>
      <w:proofErr w:type="spellStart"/>
      <w:r>
        <w:t>Cloinger</w:t>
      </w:r>
      <w:proofErr w:type="spellEnd"/>
      <w:r>
        <w:t>, pg. 32, line 6 and pg. 34, lines 8-13</w:t>
      </w:r>
    </w:p>
  </w:footnote>
  <w:footnote w:id="6">
    <w:p w:rsidR="00A7409F" w:rsidRDefault="00A7409F">
      <w:pPr>
        <w:pStyle w:val="FootnoteText"/>
      </w:pPr>
      <w:r>
        <w:rPr>
          <w:rStyle w:val="FootnoteReference"/>
        </w:rPr>
        <w:footnoteRef/>
      </w:r>
      <w:r>
        <w:t xml:space="preserve"> Deposition of Roderick Williams, pg. 73, lines 14-15; Deposition of Todd </w:t>
      </w:r>
      <w:proofErr w:type="spellStart"/>
      <w:r>
        <w:t>Cloinger</w:t>
      </w:r>
      <w:proofErr w:type="spellEnd"/>
      <w:r>
        <w:t>, pg. 17, line 20 through pg. 18, line 2</w:t>
      </w:r>
      <w:r w:rsidR="00C062E4">
        <w:t>; see also Chase’s response to Interrogatory Number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D178F"/>
    <w:multiLevelType w:val="hybridMultilevel"/>
    <w:tmpl w:val="D6562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6E"/>
    <w:rsid w:val="000057F8"/>
    <w:rsid w:val="00043328"/>
    <w:rsid w:val="00073487"/>
    <w:rsid w:val="00090AAC"/>
    <w:rsid w:val="00093C39"/>
    <w:rsid w:val="00097CAA"/>
    <w:rsid w:val="000A519A"/>
    <w:rsid w:val="000F10FB"/>
    <w:rsid w:val="000F3845"/>
    <w:rsid w:val="00101EEC"/>
    <w:rsid w:val="00124608"/>
    <w:rsid w:val="001375D5"/>
    <w:rsid w:val="00141858"/>
    <w:rsid w:val="00142E91"/>
    <w:rsid w:val="00150E0F"/>
    <w:rsid w:val="00176B96"/>
    <w:rsid w:val="00183AB6"/>
    <w:rsid w:val="0018645F"/>
    <w:rsid w:val="001865AD"/>
    <w:rsid w:val="001B3E2F"/>
    <w:rsid w:val="001C36D9"/>
    <w:rsid w:val="001D701B"/>
    <w:rsid w:val="001E1F5D"/>
    <w:rsid w:val="001E7694"/>
    <w:rsid w:val="001F0B07"/>
    <w:rsid w:val="001F5181"/>
    <w:rsid w:val="00220BC7"/>
    <w:rsid w:val="00232C84"/>
    <w:rsid w:val="00235811"/>
    <w:rsid w:val="002628D2"/>
    <w:rsid w:val="0027180F"/>
    <w:rsid w:val="002733CF"/>
    <w:rsid w:val="00280242"/>
    <w:rsid w:val="002D206D"/>
    <w:rsid w:val="002E4A03"/>
    <w:rsid w:val="002E61B7"/>
    <w:rsid w:val="003445D7"/>
    <w:rsid w:val="003504F1"/>
    <w:rsid w:val="003809CE"/>
    <w:rsid w:val="00381D0C"/>
    <w:rsid w:val="00385667"/>
    <w:rsid w:val="00391633"/>
    <w:rsid w:val="003A1723"/>
    <w:rsid w:val="003A2A62"/>
    <w:rsid w:val="003A5813"/>
    <w:rsid w:val="003B4A1A"/>
    <w:rsid w:val="003E406E"/>
    <w:rsid w:val="003F0598"/>
    <w:rsid w:val="003F4D59"/>
    <w:rsid w:val="004001E6"/>
    <w:rsid w:val="00432EC1"/>
    <w:rsid w:val="00435ED3"/>
    <w:rsid w:val="00465A0D"/>
    <w:rsid w:val="004A615C"/>
    <w:rsid w:val="004A6BDE"/>
    <w:rsid w:val="004A6D40"/>
    <w:rsid w:val="004A71EA"/>
    <w:rsid w:val="004B0BAF"/>
    <w:rsid w:val="004B7AEE"/>
    <w:rsid w:val="004C1115"/>
    <w:rsid w:val="004C493E"/>
    <w:rsid w:val="004F269F"/>
    <w:rsid w:val="004F2AEF"/>
    <w:rsid w:val="004F4BAA"/>
    <w:rsid w:val="005036B3"/>
    <w:rsid w:val="00510782"/>
    <w:rsid w:val="005215D1"/>
    <w:rsid w:val="005433B4"/>
    <w:rsid w:val="005A530A"/>
    <w:rsid w:val="005A5E9F"/>
    <w:rsid w:val="005B4C8D"/>
    <w:rsid w:val="005C79A9"/>
    <w:rsid w:val="005D174F"/>
    <w:rsid w:val="005D30E9"/>
    <w:rsid w:val="005D6AF6"/>
    <w:rsid w:val="0062690E"/>
    <w:rsid w:val="00631471"/>
    <w:rsid w:val="00635D90"/>
    <w:rsid w:val="00664B99"/>
    <w:rsid w:val="006A078D"/>
    <w:rsid w:val="006A2599"/>
    <w:rsid w:val="006E337D"/>
    <w:rsid w:val="006E44FB"/>
    <w:rsid w:val="006E5030"/>
    <w:rsid w:val="006F71A3"/>
    <w:rsid w:val="00712A6F"/>
    <w:rsid w:val="00714FA5"/>
    <w:rsid w:val="00723DAF"/>
    <w:rsid w:val="007317ED"/>
    <w:rsid w:val="00735A25"/>
    <w:rsid w:val="00753C93"/>
    <w:rsid w:val="007612FC"/>
    <w:rsid w:val="007653AA"/>
    <w:rsid w:val="007A4E81"/>
    <w:rsid w:val="007A5F7F"/>
    <w:rsid w:val="007C5891"/>
    <w:rsid w:val="007F3A05"/>
    <w:rsid w:val="00813416"/>
    <w:rsid w:val="0082080C"/>
    <w:rsid w:val="00826C63"/>
    <w:rsid w:val="00836352"/>
    <w:rsid w:val="00845A43"/>
    <w:rsid w:val="00851B1F"/>
    <w:rsid w:val="00855DD0"/>
    <w:rsid w:val="0086012A"/>
    <w:rsid w:val="00860DDD"/>
    <w:rsid w:val="008738C9"/>
    <w:rsid w:val="008949DB"/>
    <w:rsid w:val="00895574"/>
    <w:rsid w:val="00897DBD"/>
    <w:rsid w:val="008A514A"/>
    <w:rsid w:val="008A5522"/>
    <w:rsid w:val="008B4DB1"/>
    <w:rsid w:val="008B6FBE"/>
    <w:rsid w:val="008C5850"/>
    <w:rsid w:val="008D4D79"/>
    <w:rsid w:val="008F07D8"/>
    <w:rsid w:val="008F289D"/>
    <w:rsid w:val="00912E3C"/>
    <w:rsid w:val="00944BC9"/>
    <w:rsid w:val="00947310"/>
    <w:rsid w:val="00951224"/>
    <w:rsid w:val="00976F85"/>
    <w:rsid w:val="00983BC2"/>
    <w:rsid w:val="009C0CC6"/>
    <w:rsid w:val="009D182A"/>
    <w:rsid w:val="009D570A"/>
    <w:rsid w:val="009E5E1B"/>
    <w:rsid w:val="00A06322"/>
    <w:rsid w:val="00A10733"/>
    <w:rsid w:val="00A1479F"/>
    <w:rsid w:val="00A1692E"/>
    <w:rsid w:val="00A46D15"/>
    <w:rsid w:val="00A50FAB"/>
    <w:rsid w:val="00A6225B"/>
    <w:rsid w:val="00A6561C"/>
    <w:rsid w:val="00A67A37"/>
    <w:rsid w:val="00A7409F"/>
    <w:rsid w:val="00A80A13"/>
    <w:rsid w:val="00A97D6A"/>
    <w:rsid w:val="00AB4D5B"/>
    <w:rsid w:val="00AC0925"/>
    <w:rsid w:val="00AD61F7"/>
    <w:rsid w:val="00AE7FC0"/>
    <w:rsid w:val="00AF28DA"/>
    <w:rsid w:val="00AF3257"/>
    <w:rsid w:val="00AF4F92"/>
    <w:rsid w:val="00B005DC"/>
    <w:rsid w:val="00B01AC4"/>
    <w:rsid w:val="00B0614C"/>
    <w:rsid w:val="00B113B4"/>
    <w:rsid w:val="00B21166"/>
    <w:rsid w:val="00B341BA"/>
    <w:rsid w:val="00B40401"/>
    <w:rsid w:val="00B56136"/>
    <w:rsid w:val="00B80470"/>
    <w:rsid w:val="00B8503A"/>
    <w:rsid w:val="00B94252"/>
    <w:rsid w:val="00BC5899"/>
    <w:rsid w:val="00BD0165"/>
    <w:rsid w:val="00BD261A"/>
    <w:rsid w:val="00BD5913"/>
    <w:rsid w:val="00BE562B"/>
    <w:rsid w:val="00BF0096"/>
    <w:rsid w:val="00BF02FE"/>
    <w:rsid w:val="00BF2B73"/>
    <w:rsid w:val="00BF6944"/>
    <w:rsid w:val="00C01267"/>
    <w:rsid w:val="00C062E4"/>
    <w:rsid w:val="00C207C8"/>
    <w:rsid w:val="00C35EA6"/>
    <w:rsid w:val="00C4054E"/>
    <w:rsid w:val="00C6680F"/>
    <w:rsid w:val="00C675F0"/>
    <w:rsid w:val="00CB2E1C"/>
    <w:rsid w:val="00CC6F6A"/>
    <w:rsid w:val="00CD2B44"/>
    <w:rsid w:val="00CF2B98"/>
    <w:rsid w:val="00CF39E4"/>
    <w:rsid w:val="00D13F05"/>
    <w:rsid w:val="00D2754D"/>
    <w:rsid w:val="00D32639"/>
    <w:rsid w:val="00D72B14"/>
    <w:rsid w:val="00D77B97"/>
    <w:rsid w:val="00DB4CAA"/>
    <w:rsid w:val="00DD0FF6"/>
    <w:rsid w:val="00DD5665"/>
    <w:rsid w:val="00DD6E60"/>
    <w:rsid w:val="00DD7AEE"/>
    <w:rsid w:val="00DE6CF8"/>
    <w:rsid w:val="00E15B9D"/>
    <w:rsid w:val="00E42ED3"/>
    <w:rsid w:val="00E45088"/>
    <w:rsid w:val="00E5352F"/>
    <w:rsid w:val="00E57076"/>
    <w:rsid w:val="00E708E1"/>
    <w:rsid w:val="00E76A98"/>
    <w:rsid w:val="00E7719F"/>
    <w:rsid w:val="00E817A5"/>
    <w:rsid w:val="00EB399F"/>
    <w:rsid w:val="00EB5194"/>
    <w:rsid w:val="00ED0F46"/>
    <w:rsid w:val="00EE0A82"/>
    <w:rsid w:val="00F40214"/>
    <w:rsid w:val="00F44072"/>
    <w:rsid w:val="00F45626"/>
    <w:rsid w:val="00F46AAD"/>
    <w:rsid w:val="00F476C6"/>
    <w:rsid w:val="00F831BC"/>
    <w:rsid w:val="00F94334"/>
    <w:rsid w:val="00F97767"/>
    <w:rsid w:val="00FB4668"/>
    <w:rsid w:val="00FC1AB7"/>
    <w:rsid w:val="00FD6FFB"/>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5AD"/>
    <w:rPr>
      <w:rFonts w:ascii="Tahoma" w:hAnsi="Tahoma" w:cs="Tahoma"/>
      <w:sz w:val="16"/>
      <w:szCs w:val="16"/>
    </w:rPr>
  </w:style>
  <w:style w:type="character" w:customStyle="1" w:styleId="BalloonTextChar">
    <w:name w:val="Balloon Text Char"/>
    <w:basedOn w:val="DefaultParagraphFont"/>
    <w:link w:val="BalloonText"/>
    <w:uiPriority w:val="99"/>
    <w:semiHidden/>
    <w:rsid w:val="001865AD"/>
    <w:rPr>
      <w:rFonts w:ascii="Tahoma" w:hAnsi="Tahoma" w:cs="Tahoma"/>
      <w:b w:val="0"/>
      <w:sz w:val="16"/>
      <w:szCs w:val="16"/>
    </w:rPr>
  </w:style>
  <w:style w:type="paragraph" w:styleId="FootnoteText">
    <w:name w:val="footnote text"/>
    <w:basedOn w:val="Normal"/>
    <w:link w:val="FootnoteTextChar"/>
    <w:uiPriority w:val="99"/>
    <w:semiHidden/>
    <w:unhideWhenUsed/>
    <w:rsid w:val="00FB4668"/>
  </w:style>
  <w:style w:type="character" w:customStyle="1" w:styleId="FootnoteTextChar">
    <w:name w:val="Footnote Text Char"/>
    <w:basedOn w:val="DefaultParagraphFont"/>
    <w:link w:val="FootnoteText"/>
    <w:uiPriority w:val="99"/>
    <w:semiHidden/>
    <w:rsid w:val="00FB4668"/>
    <w:rPr>
      <w:rFonts w:ascii="Times New Roman" w:hAnsi="Times New Roman" w:cs="Times New Roman"/>
      <w:b w:val="0"/>
      <w:sz w:val="20"/>
    </w:rPr>
  </w:style>
  <w:style w:type="character" w:styleId="FootnoteReference">
    <w:name w:val="footnote reference"/>
    <w:basedOn w:val="DefaultParagraphFont"/>
    <w:uiPriority w:val="99"/>
    <w:semiHidden/>
    <w:unhideWhenUsed/>
    <w:rsid w:val="00FB4668"/>
    <w:rPr>
      <w:vertAlign w:val="superscript"/>
    </w:rPr>
  </w:style>
  <w:style w:type="paragraph" w:styleId="ListParagraph">
    <w:name w:val="List Paragraph"/>
    <w:basedOn w:val="Normal"/>
    <w:uiPriority w:val="34"/>
    <w:qFormat/>
    <w:rsid w:val="00B40401"/>
    <w:pPr>
      <w:ind w:left="720"/>
      <w:contextualSpacing/>
    </w:pPr>
  </w:style>
  <w:style w:type="character" w:customStyle="1" w:styleId="apple-style-span">
    <w:name w:val="apple-style-span"/>
    <w:basedOn w:val="DefaultParagraphFont"/>
    <w:rsid w:val="00AF4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5AD"/>
    <w:rPr>
      <w:rFonts w:ascii="Tahoma" w:hAnsi="Tahoma" w:cs="Tahoma"/>
      <w:sz w:val="16"/>
      <w:szCs w:val="16"/>
    </w:rPr>
  </w:style>
  <w:style w:type="character" w:customStyle="1" w:styleId="BalloonTextChar">
    <w:name w:val="Balloon Text Char"/>
    <w:basedOn w:val="DefaultParagraphFont"/>
    <w:link w:val="BalloonText"/>
    <w:uiPriority w:val="99"/>
    <w:semiHidden/>
    <w:rsid w:val="001865AD"/>
    <w:rPr>
      <w:rFonts w:ascii="Tahoma" w:hAnsi="Tahoma" w:cs="Tahoma"/>
      <w:b w:val="0"/>
      <w:sz w:val="16"/>
      <w:szCs w:val="16"/>
    </w:rPr>
  </w:style>
  <w:style w:type="paragraph" w:styleId="FootnoteText">
    <w:name w:val="footnote text"/>
    <w:basedOn w:val="Normal"/>
    <w:link w:val="FootnoteTextChar"/>
    <w:uiPriority w:val="99"/>
    <w:semiHidden/>
    <w:unhideWhenUsed/>
    <w:rsid w:val="00FB4668"/>
  </w:style>
  <w:style w:type="character" w:customStyle="1" w:styleId="FootnoteTextChar">
    <w:name w:val="Footnote Text Char"/>
    <w:basedOn w:val="DefaultParagraphFont"/>
    <w:link w:val="FootnoteText"/>
    <w:uiPriority w:val="99"/>
    <w:semiHidden/>
    <w:rsid w:val="00FB4668"/>
    <w:rPr>
      <w:rFonts w:ascii="Times New Roman" w:hAnsi="Times New Roman" w:cs="Times New Roman"/>
      <w:b w:val="0"/>
      <w:sz w:val="20"/>
    </w:rPr>
  </w:style>
  <w:style w:type="character" w:styleId="FootnoteReference">
    <w:name w:val="footnote reference"/>
    <w:basedOn w:val="DefaultParagraphFont"/>
    <w:uiPriority w:val="99"/>
    <w:semiHidden/>
    <w:unhideWhenUsed/>
    <w:rsid w:val="00FB4668"/>
    <w:rPr>
      <w:vertAlign w:val="superscript"/>
    </w:rPr>
  </w:style>
  <w:style w:type="paragraph" w:styleId="ListParagraph">
    <w:name w:val="List Paragraph"/>
    <w:basedOn w:val="Normal"/>
    <w:uiPriority w:val="34"/>
    <w:qFormat/>
    <w:rsid w:val="00B40401"/>
    <w:pPr>
      <w:ind w:left="720"/>
      <w:contextualSpacing/>
    </w:pPr>
  </w:style>
  <w:style w:type="character" w:customStyle="1" w:styleId="apple-style-span">
    <w:name w:val="apple-style-span"/>
    <w:basedOn w:val="DefaultParagraphFont"/>
    <w:rsid w:val="00AF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9049">
      <w:bodyDiv w:val="1"/>
      <w:marLeft w:val="0"/>
      <w:marRight w:val="0"/>
      <w:marTop w:val="0"/>
      <w:marBottom w:val="0"/>
      <w:divBdr>
        <w:top w:val="none" w:sz="0" w:space="0" w:color="auto"/>
        <w:left w:val="none" w:sz="0" w:space="0" w:color="auto"/>
        <w:bottom w:val="none" w:sz="0" w:space="0" w:color="auto"/>
        <w:right w:val="none" w:sz="0" w:space="0" w:color="auto"/>
      </w:divBdr>
    </w:div>
    <w:div w:id="5010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2E61-8C50-409D-8C95-DB627022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2011-05-24T18:37:00Z</cp:lastPrinted>
  <dcterms:created xsi:type="dcterms:W3CDTF">2011-05-24T18:29:00Z</dcterms:created>
  <dcterms:modified xsi:type="dcterms:W3CDTF">2011-05-24T18:37:00Z</dcterms:modified>
</cp:coreProperties>
</file>