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7F" w:rsidRDefault="00BA5884">
      <w:pPr>
        <w:rPr>
          <w:sz w:val="24"/>
          <w:szCs w:val="24"/>
        </w:rPr>
      </w:pPr>
      <w:r>
        <w:rPr>
          <w:sz w:val="24"/>
          <w:szCs w:val="24"/>
        </w:rPr>
        <w:t>UNITY CONSTRUCTION AND</w:t>
      </w:r>
      <w:r>
        <w:rPr>
          <w:sz w:val="24"/>
          <w:szCs w:val="24"/>
        </w:rPr>
        <w:tab/>
      </w:r>
      <w:r>
        <w:rPr>
          <w:sz w:val="24"/>
          <w:szCs w:val="24"/>
        </w:rPr>
        <w:tab/>
      </w:r>
      <w:r w:rsidR="007E3C55">
        <w:rPr>
          <w:sz w:val="24"/>
          <w:szCs w:val="24"/>
        </w:rPr>
        <w:tab/>
      </w:r>
      <w:r>
        <w:rPr>
          <w:sz w:val="24"/>
          <w:szCs w:val="24"/>
        </w:rPr>
        <w:t>:  NUMBER:  536,039, “B”</w:t>
      </w:r>
    </w:p>
    <w:p w:rsidR="00BA5884" w:rsidRDefault="00BA5884">
      <w:pPr>
        <w:rPr>
          <w:sz w:val="24"/>
          <w:szCs w:val="24"/>
        </w:rPr>
      </w:pPr>
      <w:proofErr w:type="gramStart"/>
      <w:r>
        <w:rPr>
          <w:sz w:val="24"/>
          <w:szCs w:val="24"/>
        </w:rPr>
        <w:t>REMODELING, INC.</w:t>
      </w:r>
      <w:proofErr w:type="gramEnd"/>
    </w:p>
    <w:p w:rsidR="00BA5884" w:rsidRDefault="00BA5884">
      <w:pPr>
        <w:rPr>
          <w:sz w:val="24"/>
          <w:szCs w:val="24"/>
        </w:rPr>
      </w:pPr>
    </w:p>
    <w:p w:rsidR="00BA5884" w:rsidRDefault="00BA5884">
      <w:pPr>
        <w:rPr>
          <w:sz w:val="24"/>
          <w:szCs w:val="24"/>
        </w:rPr>
      </w:pPr>
      <w:r>
        <w:rPr>
          <w:sz w:val="24"/>
          <w:szCs w:val="24"/>
        </w:rPr>
        <w:t>VERSUS</w:t>
      </w:r>
      <w:r>
        <w:rPr>
          <w:sz w:val="24"/>
          <w:szCs w:val="24"/>
        </w:rPr>
        <w:tab/>
      </w:r>
      <w:r>
        <w:rPr>
          <w:sz w:val="24"/>
          <w:szCs w:val="24"/>
        </w:rPr>
        <w:tab/>
      </w:r>
      <w:r>
        <w:rPr>
          <w:sz w:val="24"/>
          <w:szCs w:val="24"/>
        </w:rPr>
        <w:tab/>
      </w:r>
      <w:r>
        <w:rPr>
          <w:sz w:val="24"/>
          <w:szCs w:val="24"/>
        </w:rPr>
        <w:tab/>
      </w:r>
      <w:r>
        <w:rPr>
          <w:sz w:val="24"/>
          <w:szCs w:val="24"/>
        </w:rPr>
        <w:tab/>
      </w:r>
      <w:r w:rsidR="007E3C55">
        <w:rPr>
          <w:sz w:val="24"/>
          <w:szCs w:val="24"/>
        </w:rPr>
        <w:tab/>
      </w:r>
      <w:r>
        <w:rPr>
          <w:sz w:val="24"/>
          <w:szCs w:val="24"/>
        </w:rPr>
        <w:t>:  FIRST JUDICIAL DISTRICT COURT</w:t>
      </w:r>
    </w:p>
    <w:p w:rsidR="00BA5884" w:rsidRDefault="00BA5884">
      <w:pPr>
        <w:rPr>
          <w:sz w:val="24"/>
          <w:szCs w:val="24"/>
        </w:rPr>
      </w:pPr>
    </w:p>
    <w:p w:rsidR="00FB1985" w:rsidRDefault="00FB1985">
      <w:pPr>
        <w:rPr>
          <w:sz w:val="24"/>
          <w:szCs w:val="24"/>
        </w:rPr>
      </w:pPr>
      <w:r>
        <w:rPr>
          <w:sz w:val="24"/>
          <w:szCs w:val="24"/>
        </w:rPr>
        <w:t xml:space="preserve">RICKEY LEE </w:t>
      </w:r>
      <w:proofErr w:type="gramStart"/>
      <w:r>
        <w:rPr>
          <w:sz w:val="24"/>
          <w:szCs w:val="24"/>
        </w:rPr>
        <w:t>FARRIS,</w:t>
      </w:r>
      <w:proofErr w:type="gramEnd"/>
      <w:r>
        <w:rPr>
          <w:sz w:val="24"/>
          <w:szCs w:val="24"/>
        </w:rPr>
        <w:t xml:space="preserve"> AND TRACY</w:t>
      </w:r>
    </w:p>
    <w:p w:rsidR="00BA5884" w:rsidRDefault="00FB1985">
      <w:pPr>
        <w:rPr>
          <w:sz w:val="24"/>
          <w:szCs w:val="24"/>
        </w:rPr>
      </w:pPr>
      <w:r>
        <w:rPr>
          <w:sz w:val="24"/>
          <w:szCs w:val="24"/>
        </w:rPr>
        <w:t>YVETTE HARDMAN FARRIS</w:t>
      </w:r>
      <w:r w:rsidR="00BA5884">
        <w:rPr>
          <w:sz w:val="24"/>
          <w:szCs w:val="24"/>
        </w:rPr>
        <w:tab/>
      </w:r>
      <w:r w:rsidR="00BA5884">
        <w:rPr>
          <w:sz w:val="24"/>
          <w:szCs w:val="24"/>
        </w:rPr>
        <w:tab/>
      </w:r>
      <w:r w:rsidR="007E3C55">
        <w:rPr>
          <w:sz w:val="24"/>
          <w:szCs w:val="24"/>
        </w:rPr>
        <w:tab/>
      </w:r>
      <w:r w:rsidR="00BA5884">
        <w:rPr>
          <w:sz w:val="24"/>
          <w:szCs w:val="24"/>
        </w:rPr>
        <w:t xml:space="preserve">:  CADDO PARISH, LOUISIANA </w:t>
      </w:r>
    </w:p>
    <w:p w:rsidR="00BA5884" w:rsidRDefault="00BA5884">
      <w:pPr>
        <w:rPr>
          <w:sz w:val="24"/>
          <w:szCs w:val="24"/>
        </w:rPr>
      </w:pPr>
    </w:p>
    <w:p w:rsidR="00BA5884" w:rsidRPr="00221F8F" w:rsidRDefault="00BA5884" w:rsidP="00BA5884">
      <w:pPr>
        <w:jc w:val="center"/>
        <w:rPr>
          <w:b/>
          <w:sz w:val="36"/>
          <w:szCs w:val="36"/>
          <w:u w:val="single"/>
        </w:rPr>
      </w:pPr>
      <w:r w:rsidRPr="00221F8F">
        <w:rPr>
          <w:b/>
          <w:sz w:val="36"/>
          <w:szCs w:val="36"/>
          <w:u w:val="single"/>
        </w:rPr>
        <w:t>REASONS FOR JUDGMENT</w:t>
      </w:r>
    </w:p>
    <w:p w:rsidR="00BA5884" w:rsidRDefault="00BA5884" w:rsidP="00BA5884">
      <w:pPr>
        <w:jc w:val="center"/>
        <w:rPr>
          <w:b/>
          <w:sz w:val="28"/>
          <w:szCs w:val="28"/>
          <w:u w:val="single"/>
        </w:rPr>
      </w:pPr>
    </w:p>
    <w:p w:rsidR="00BA5884" w:rsidRDefault="00BA5884" w:rsidP="00BA5884">
      <w:pPr>
        <w:spacing w:line="480" w:lineRule="auto"/>
        <w:jc w:val="both"/>
        <w:rPr>
          <w:sz w:val="24"/>
          <w:szCs w:val="24"/>
        </w:rPr>
      </w:pPr>
      <w:r>
        <w:rPr>
          <w:sz w:val="24"/>
          <w:szCs w:val="24"/>
        </w:rPr>
        <w:tab/>
        <w:t xml:space="preserve">The Court has for consideration a “Petition for Breach of Contract Due to Nonpayment” filed by Unity Construction Remodeling, Incorporated (Unity) in which Unity requests </w:t>
      </w:r>
      <w:r w:rsidR="00422988">
        <w:rPr>
          <w:sz w:val="24"/>
          <w:szCs w:val="24"/>
        </w:rPr>
        <w:t>Judgment for the balance it contends is owed,</w:t>
      </w:r>
      <w:r w:rsidR="003E2E23">
        <w:rPr>
          <w:sz w:val="24"/>
          <w:szCs w:val="24"/>
        </w:rPr>
        <w:t xml:space="preserve"> </w:t>
      </w:r>
      <w:r>
        <w:rPr>
          <w:sz w:val="24"/>
          <w:szCs w:val="24"/>
        </w:rPr>
        <w:t>$35,252.18</w:t>
      </w:r>
      <w:r w:rsidR="003E2E23">
        <w:rPr>
          <w:sz w:val="24"/>
          <w:szCs w:val="24"/>
        </w:rPr>
        <w:t xml:space="preserve"> plus attorney</w:t>
      </w:r>
      <w:r w:rsidR="00495FE8">
        <w:rPr>
          <w:sz w:val="24"/>
          <w:szCs w:val="24"/>
        </w:rPr>
        <w:t>’</w:t>
      </w:r>
      <w:r w:rsidR="003E2E23">
        <w:rPr>
          <w:sz w:val="24"/>
          <w:szCs w:val="24"/>
        </w:rPr>
        <w:t>s fees</w:t>
      </w:r>
      <w:r w:rsidR="00FB1985">
        <w:rPr>
          <w:rStyle w:val="FootnoteReference"/>
          <w:sz w:val="24"/>
          <w:szCs w:val="24"/>
        </w:rPr>
        <w:footnoteReference w:id="1"/>
      </w:r>
      <w:r w:rsidR="003E2E23">
        <w:rPr>
          <w:sz w:val="24"/>
          <w:szCs w:val="24"/>
        </w:rPr>
        <w:t xml:space="preserve">; a </w:t>
      </w:r>
      <w:r>
        <w:rPr>
          <w:sz w:val="24"/>
          <w:szCs w:val="24"/>
        </w:rPr>
        <w:t xml:space="preserve"> </w:t>
      </w:r>
      <w:proofErr w:type="spellStart"/>
      <w:r w:rsidR="00422988">
        <w:rPr>
          <w:sz w:val="24"/>
          <w:szCs w:val="24"/>
        </w:rPr>
        <w:t>r</w:t>
      </w:r>
      <w:r>
        <w:rPr>
          <w:sz w:val="24"/>
          <w:szCs w:val="24"/>
        </w:rPr>
        <w:t>econventional</w:t>
      </w:r>
      <w:proofErr w:type="spellEnd"/>
      <w:r>
        <w:rPr>
          <w:sz w:val="24"/>
          <w:szCs w:val="24"/>
        </w:rPr>
        <w:t xml:space="preserve"> </w:t>
      </w:r>
      <w:r w:rsidR="00422988">
        <w:rPr>
          <w:sz w:val="24"/>
          <w:szCs w:val="24"/>
        </w:rPr>
        <w:t>d</w:t>
      </w:r>
      <w:r>
        <w:rPr>
          <w:sz w:val="24"/>
          <w:szCs w:val="24"/>
        </w:rPr>
        <w:t>emand filed by Rickey Lee Farris and Tracy Yvette Hardman Farris in which they assert claims under the New Home Warranty Act</w:t>
      </w:r>
      <w:r w:rsidR="00422988">
        <w:rPr>
          <w:sz w:val="24"/>
          <w:szCs w:val="24"/>
        </w:rPr>
        <w:t>;</w:t>
      </w:r>
      <w:r>
        <w:rPr>
          <w:sz w:val="24"/>
          <w:szCs w:val="24"/>
        </w:rPr>
        <w:t xml:space="preserve"> and, a third party demand </w:t>
      </w:r>
      <w:r w:rsidR="003E2E23">
        <w:rPr>
          <w:sz w:val="24"/>
          <w:szCs w:val="24"/>
        </w:rPr>
        <w:t xml:space="preserve">by the </w:t>
      </w:r>
      <w:proofErr w:type="spellStart"/>
      <w:r w:rsidR="003E2E23">
        <w:rPr>
          <w:sz w:val="24"/>
          <w:szCs w:val="24"/>
        </w:rPr>
        <w:t>Farrises</w:t>
      </w:r>
      <w:proofErr w:type="spellEnd"/>
      <w:r w:rsidR="003E2E23">
        <w:rPr>
          <w:sz w:val="24"/>
          <w:szCs w:val="24"/>
        </w:rPr>
        <w:t xml:space="preserve"> in which they assert claims against Melvin Nelson, Individually</w:t>
      </w:r>
      <w:r w:rsidR="00495FE8">
        <w:rPr>
          <w:sz w:val="24"/>
          <w:szCs w:val="24"/>
        </w:rPr>
        <w:t xml:space="preserve">, as well as </w:t>
      </w:r>
      <w:r w:rsidR="00D615B2">
        <w:rPr>
          <w:sz w:val="24"/>
          <w:szCs w:val="24"/>
        </w:rPr>
        <w:t>Curtis Wright</w:t>
      </w:r>
      <w:r>
        <w:rPr>
          <w:sz w:val="24"/>
          <w:szCs w:val="24"/>
        </w:rPr>
        <w:t xml:space="preserve">.  The </w:t>
      </w:r>
      <w:proofErr w:type="spellStart"/>
      <w:r w:rsidR="00495FE8">
        <w:rPr>
          <w:sz w:val="24"/>
          <w:szCs w:val="24"/>
        </w:rPr>
        <w:t>r</w:t>
      </w:r>
      <w:r>
        <w:rPr>
          <w:sz w:val="24"/>
          <w:szCs w:val="24"/>
        </w:rPr>
        <w:t>econventional</w:t>
      </w:r>
      <w:proofErr w:type="spellEnd"/>
      <w:r>
        <w:rPr>
          <w:sz w:val="24"/>
          <w:szCs w:val="24"/>
        </w:rPr>
        <w:t xml:space="preserve"> </w:t>
      </w:r>
      <w:r w:rsidR="00495FE8">
        <w:rPr>
          <w:sz w:val="24"/>
          <w:szCs w:val="24"/>
        </w:rPr>
        <w:t>d</w:t>
      </w:r>
      <w:r>
        <w:rPr>
          <w:sz w:val="24"/>
          <w:szCs w:val="24"/>
        </w:rPr>
        <w:t xml:space="preserve">emand, as it asserts claims under the New Home Warranty Act, was met by an Exception of No Cause of Action by Unity (in its capacity of defendant in reconvention), </w:t>
      </w:r>
      <w:r w:rsidR="00D615B2">
        <w:rPr>
          <w:sz w:val="24"/>
          <w:szCs w:val="24"/>
        </w:rPr>
        <w:t>and the third party demand was also met by a peremptory exception of no cause of action filed by Mr. Nelson and Mr. Wright.  The Court finds th</w:t>
      </w:r>
      <w:r w:rsidR="00603CD4">
        <w:rPr>
          <w:sz w:val="24"/>
          <w:szCs w:val="24"/>
        </w:rPr>
        <w:t>o</w:t>
      </w:r>
      <w:r w:rsidR="00D615B2">
        <w:rPr>
          <w:sz w:val="24"/>
          <w:szCs w:val="24"/>
        </w:rPr>
        <w:t xml:space="preserve">se peremptory exceptions meritorious and therefore sustained.  </w:t>
      </w:r>
      <w:r w:rsidR="00603CD4">
        <w:rPr>
          <w:sz w:val="24"/>
          <w:szCs w:val="24"/>
        </w:rPr>
        <w:t>As to the trial on the merits, held January 25, 2011, t</w:t>
      </w:r>
      <w:r>
        <w:rPr>
          <w:sz w:val="24"/>
          <w:szCs w:val="24"/>
        </w:rPr>
        <w:t>he Court concludes the following:</w:t>
      </w:r>
    </w:p>
    <w:p w:rsidR="00BA5884" w:rsidRDefault="00BA5884" w:rsidP="00BA5884">
      <w:pPr>
        <w:pStyle w:val="ListParagraph"/>
        <w:numPr>
          <w:ilvl w:val="0"/>
          <w:numId w:val="1"/>
        </w:numPr>
        <w:spacing w:line="480" w:lineRule="auto"/>
        <w:jc w:val="both"/>
        <w:rPr>
          <w:sz w:val="24"/>
          <w:szCs w:val="24"/>
        </w:rPr>
      </w:pPr>
      <w:r>
        <w:rPr>
          <w:sz w:val="24"/>
          <w:szCs w:val="24"/>
        </w:rPr>
        <w:t xml:space="preserve"> On the petition, the Court </w:t>
      </w:r>
      <w:r>
        <w:rPr>
          <w:sz w:val="24"/>
          <w:szCs w:val="24"/>
          <w:u w:val="single"/>
        </w:rPr>
        <w:t>grants</w:t>
      </w:r>
      <w:r>
        <w:rPr>
          <w:sz w:val="24"/>
          <w:szCs w:val="24"/>
        </w:rPr>
        <w:t xml:space="preserve"> Judgment in favor of Unity and against Rickey Farris and Tracy Farris in the amount of </w:t>
      </w:r>
      <w:r w:rsidR="00262875">
        <w:rPr>
          <w:sz w:val="24"/>
          <w:szCs w:val="24"/>
        </w:rPr>
        <w:t>$33,393.05;</w:t>
      </w:r>
    </w:p>
    <w:p w:rsidR="00BA5884" w:rsidRDefault="00BA5884" w:rsidP="00BA5884">
      <w:pPr>
        <w:pStyle w:val="ListParagraph"/>
        <w:numPr>
          <w:ilvl w:val="0"/>
          <w:numId w:val="1"/>
        </w:numPr>
        <w:spacing w:line="480" w:lineRule="auto"/>
        <w:jc w:val="both"/>
        <w:rPr>
          <w:sz w:val="24"/>
          <w:szCs w:val="24"/>
        </w:rPr>
      </w:pPr>
      <w:r>
        <w:rPr>
          <w:sz w:val="24"/>
          <w:szCs w:val="24"/>
        </w:rPr>
        <w:t xml:space="preserve">On the </w:t>
      </w:r>
      <w:proofErr w:type="spellStart"/>
      <w:r>
        <w:rPr>
          <w:sz w:val="24"/>
          <w:szCs w:val="24"/>
        </w:rPr>
        <w:t>reconventional</w:t>
      </w:r>
      <w:proofErr w:type="spellEnd"/>
      <w:r>
        <w:rPr>
          <w:sz w:val="24"/>
          <w:szCs w:val="24"/>
        </w:rPr>
        <w:t xml:space="preserve"> demand, the exception is sustained</w:t>
      </w:r>
      <w:r w:rsidR="00262875">
        <w:rPr>
          <w:sz w:val="24"/>
          <w:szCs w:val="24"/>
        </w:rPr>
        <w:t>,</w:t>
      </w:r>
      <w:r w:rsidR="00603CD4">
        <w:rPr>
          <w:sz w:val="24"/>
          <w:szCs w:val="24"/>
        </w:rPr>
        <w:t xml:space="preserve"> </w:t>
      </w:r>
      <w:r w:rsidR="003E2E23">
        <w:rPr>
          <w:sz w:val="24"/>
          <w:szCs w:val="24"/>
        </w:rPr>
        <w:t xml:space="preserve">with Judgment therefore being rendered in favor of Unity; </w:t>
      </w:r>
      <w:r w:rsidR="00603CD4">
        <w:rPr>
          <w:sz w:val="24"/>
          <w:szCs w:val="24"/>
        </w:rPr>
        <w:t>and</w:t>
      </w:r>
    </w:p>
    <w:p w:rsidR="00BA5884" w:rsidRDefault="00BA5884" w:rsidP="00BA5884">
      <w:pPr>
        <w:pStyle w:val="ListParagraph"/>
        <w:numPr>
          <w:ilvl w:val="0"/>
          <w:numId w:val="1"/>
        </w:numPr>
        <w:spacing w:line="480" w:lineRule="auto"/>
        <w:jc w:val="both"/>
        <w:rPr>
          <w:sz w:val="24"/>
          <w:szCs w:val="24"/>
        </w:rPr>
      </w:pPr>
      <w:r>
        <w:rPr>
          <w:sz w:val="24"/>
          <w:szCs w:val="24"/>
        </w:rPr>
        <w:t>On the third party demand, the Court grants judgment in favor of Melvin Nelson</w:t>
      </w:r>
      <w:r w:rsidR="00603CD4">
        <w:rPr>
          <w:sz w:val="24"/>
          <w:szCs w:val="24"/>
        </w:rPr>
        <w:t xml:space="preserve"> and Curtis Wright</w:t>
      </w:r>
      <w:r>
        <w:rPr>
          <w:sz w:val="24"/>
          <w:szCs w:val="24"/>
        </w:rPr>
        <w:t>.</w:t>
      </w:r>
    </w:p>
    <w:p w:rsidR="00BA5884" w:rsidRPr="009301A4" w:rsidRDefault="00BA5884" w:rsidP="00BA5884">
      <w:pPr>
        <w:spacing w:line="480" w:lineRule="auto"/>
        <w:jc w:val="center"/>
        <w:rPr>
          <w:b/>
          <w:sz w:val="28"/>
          <w:szCs w:val="28"/>
        </w:rPr>
      </w:pPr>
      <w:r w:rsidRPr="009301A4">
        <w:rPr>
          <w:b/>
          <w:sz w:val="28"/>
          <w:szCs w:val="28"/>
        </w:rPr>
        <w:t>FARRIS</w:t>
      </w:r>
      <w:r w:rsidR="00561A15" w:rsidRPr="009301A4">
        <w:rPr>
          <w:b/>
          <w:sz w:val="28"/>
          <w:szCs w:val="28"/>
        </w:rPr>
        <w:t xml:space="preserve"> </w:t>
      </w:r>
      <w:r w:rsidRPr="009301A4">
        <w:rPr>
          <w:b/>
          <w:sz w:val="28"/>
          <w:szCs w:val="28"/>
        </w:rPr>
        <w:t>CLAIM FOR APPLIANCE CREDIT</w:t>
      </w:r>
    </w:p>
    <w:p w:rsidR="00BA5884" w:rsidRDefault="00BA5884" w:rsidP="00BA5884">
      <w:pPr>
        <w:spacing w:line="480" w:lineRule="auto"/>
        <w:rPr>
          <w:sz w:val="24"/>
          <w:szCs w:val="24"/>
        </w:rPr>
      </w:pPr>
      <w:r>
        <w:rPr>
          <w:sz w:val="24"/>
          <w:szCs w:val="24"/>
        </w:rPr>
        <w:tab/>
        <w:t xml:space="preserve">The </w:t>
      </w:r>
      <w:proofErr w:type="spellStart"/>
      <w:r>
        <w:rPr>
          <w:sz w:val="24"/>
          <w:szCs w:val="24"/>
        </w:rPr>
        <w:t>Farrises</w:t>
      </w:r>
      <w:proofErr w:type="spellEnd"/>
      <w:r>
        <w:rPr>
          <w:sz w:val="24"/>
          <w:szCs w:val="24"/>
        </w:rPr>
        <w:t xml:space="preserve"> claim a credit of $15,064.44 against </w:t>
      </w:r>
      <w:r w:rsidR="00603CD4">
        <w:rPr>
          <w:sz w:val="24"/>
          <w:szCs w:val="24"/>
        </w:rPr>
        <w:t xml:space="preserve">the amount due of $35,252.18 to </w:t>
      </w:r>
      <w:r>
        <w:rPr>
          <w:sz w:val="24"/>
          <w:szCs w:val="24"/>
        </w:rPr>
        <w:t>Unity for appliances which they individually purchased for that amount.  In support of their position, they cite subparagraph 1 of the Residential Construction Agreement which provides as follows:</w:t>
      </w:r>
    </w:p>
    <w:p w:rsidR="00BA5884" w:rsidRDefault="00BA5884" w:rsidP="00422988">
      <w:pPr>
        <w:spacing w:line="480" w:lineRule="auto"/>
        <w:ind w:right="720" w:firstLine="720"/>
        <w:rPr>
          <w:sz w:val="24"/>
          <w:szCs w:val="24"/>
        </w:rPr>
      </w:pPr>
      <w:r>
        <w:rPr>
          <w:sz w:val="24"/>
          <w:szCs w:val="24"/>
        </w:rPr>
        <w:t>Builder and Purchaser agree as follows:</w:t>
      </w:r>
    </w:p>
    <w:p w:rsidR="00BA5884" w:rsidRDefault="00BA5884" w:rsidP="00BD5C39">
      <w:pPr>
        <w:pStyle w:val="ListParagraph"/>
        <w:numPr>
          <w:ilvl w:val="0"/>
          <w:numId w:val="2"/>
        </w:numPr>
        <w:ind w:left="720" w:right="720"/>
        <w:rPr>
          <w:sz w:val="24"/>
          <w:szCs w:val="24"/>
        </w:rPr>
      </w:pPr>
      <w:r>
        <w:rPr>
          <w:sz w:val="24"/>
          <w:szCs w:val="24"/>
        </w:rPr>
        <w:lastRenderedPageBreak/>
        <w:t xml:space="preserve"> Builder agrees to furnish the necessary permits, inspections, labor and material, including tools,</w:t>
      </w:r>
      <w:r w:rsidR="00BD5C39">
        <w:rPr>
          <w:sz w:val="24"/>
          <w:szCs w:val="24"/>
        </w:rPr>
        <w:t xml:space="preserve"> </w:t>
      </w:r>
      <w:r>
        <w:rPr>
          <w:sz w:val="24"/>
          <w:szCs w:val="24"/>
        </w:rPr>
        <w:t>implements and appliances to complete the project.</w:t>
      </w:r>
    </w:p>
    <w:p w:rsidR="009301A4" w:rsidRDefault="009301A4" w:rsidP="009301A4">
      <w:pPr>
        <w:pStyle w:val="ListParagraph"/>
        <w:ind w:right="720"/>
        <w:rPr>
          <w:sz w:val="24"/>
          <w:szCs w:val="24"/>
        </w:rPr>
      </w:pPr>
    </w:p>
    <w:p w:rsidR="00BD5C39" w:rsidRDefault="00BD5C39" w:rsidP="00422988">
      <w:pPr>
        <w:spacing w:line="480" w:lineRule="auto"/>
        <w:ind w:firstLine="720"/>
        <w:rPr>
          <w:sz w:val="24"/>
          <w:szCs w:val="24"/>
        </w:rPr>
      </w:pPr>
      <w:r>
        <w:rPr>
          <w:sz w:val="24"/>
          <w:szCs w:val="24"/>
        </w:rPr>
        <w:t xml:space="preserve">In this project, the heated square footage of which amounted to approximately 6,500, the </w:t>
      </w:r>
      <w:proofErr w:type="spellStart"/>
      <w:r>
        <w:rPr>
          <w:sz w:val="24"/>
          <w:szCs w:val="24"/>
        </w:rPr>
        <w:t>Farrises</w:t>
      </w:r>
      <w:proofErr w:type="spellEnd"/>
      <w:r>
        <w:rPr>
          <w:sz w:val="24"/>
          <w:szCs w:val="24"/>
        </w:rPr>
        <w:t xml:space="preserve"> bought</w:t>
      </w:r>
      <w:r w:rsidR="00561A15">
        <w:rPr>
          <w:sz w:val="24"/>
          <w:szCs w:val="24"/>
        </w:rPr>
        <w:t>:</w:t>
      </w:r>
    </w:p>
    <w:p w:rsidR="008B0EFC" w:rsidRDefault="008B0EFC" w:rsidP="008B0EFC">
      <w:pPr>
        <w:pStyle w:val="ListParagraph"/>
        <w:numPr>
          <w:ilvl w:val="0"/>
          <w:numId w:val="3"/>
        </w:numPr>
        <w:spacing w:line="480" w:lineRule="auto"/>
        <w:rPr>
          <w:sz w:val="24"/>
          <w:szCs w:val="24"/>
        </w:rPr>
      </w:pPr>
      <w:r>
        <w:rPr>
          <w:sz w:val="24"/>
          <w:szCs w:val="24"/>
        </w:rPr>
        <w:t xml:space="preserve"> Frigida</w:t>
      </w:r>
      <w:r w:rsidR="00AA2D4F">
        <w:rPr>
          <w:sz w:val="24"/>
          <w:szCs w:val="24"/>
        </w:rPr>
        <w:t>i</w:t>
      </w:r>
      <w:r>
        <w:rPr>
          <w:sz w:val="24"/>
          <w:szCs w:val="24"/>
        </w:rPr>
        <w:t>re 30 inch double wall oven</w:t>
      </w:r>
      <w:r>
        <w:rPr>
          <w:sz w:val="24"/>
          <w:szCs w:val="24"/>
        </w:rPr>
        <w:tab/>
        <w:t>$ 2,603.59</w:t>
      </w:r>
    </w:p>
    <w:p w:rsidR="008B0EFC" w:rsidRDefault="008B0EFC" w:rsidP="008B0EFC">
      <w:pPr>
        <w:pStyle w:val="ListParagraph"/>
        <w:numPr>
          <w:ilvl w:val="0"/>
          <w:numId w:val="3"/>
        </w:numPr>
        <w:spacing w:line="480" w:lineRule="auto"/>
        <w:rPr>
          <w:sz w:val="24"/>
          <w:szCs w:val="24"/>
        </w:rPr>
      </w:pPr>
      <w:r>
        <w:rPr>
          <w:sz w:val="24"/>
          <w:szCs w:val="24"/>
        </w:rPr>
        <w:t>GE microwave oven</w:t>
      </w:r>
      <w:r>
        <w:rPr>
          <w:sz w:val="24"/>
          <w:szCs w:val="24"/>
        </w:rPr>
        <w:tab/>
      </w:r>
      <w:r>
        <w:rPr>
          <w:sz w:val="24"/>
          <w:szCs w:val="24"/>
        </w:rPr>
        <w:tab/>
      </w:r>
      <w:r>
        <w:rPr>
          <w:sz w:val="24"/>
          <w:szCs w:val="24"/>
        </w:rPr>
        <w:tab/>
        <w:t>$    198.00</w:t>
      </w:r>
    </w:p>
    <w:p w:rsidR="008B0EFC" w:rsidRDefault="008B0EFC" w:rsidP="008B0EFC">
      <w:pPr>
        <w:pStyle w:val="ListParagraph"/>
        <w:numPr>
          <w:ilvl w:val="0"/>
          <w:numId w:val="3"/>
        </w:numPr>
        <w:spacing w:line="480" w:lineRule="auto"/>
        <w:rPr>
          <w:sz w:val="24"/>
          <w:szCs w:val="24"/>
        </w:rPr>
      </w:pPr>
      <w:r>
        <w:rPr>
          <w:sz w:val="24"/>
          <w:szCs w:val="24"/>
        </w:rPr>
        <w:t>Frigidaire dishwasher</w:t>
      </w:r>
      <w:r>
        <w:rPr>
          <w:sz w:val="24"/>
          <w:szCs w:val="24"/>
        </w:rPr>
        <w:tab/>
      </w:r>
      <w:r>
        <w:rPr>
          <w:sz w:val="24"/>
          <w:szCs w:val="24"/>
        </w:rPr>
        <w:tab/>
      </w:r>
      <w:r>
        <w:rPr>
          <w:sz w:val="24"/>
          <w:szCs w:val="24"/>
        </w:rPr>
        <w:tab/>
        <w:t>$    460.00</w:t>
      </w:r>
    </w:p>
    <w:p w:rsidR="008B0EFC" w:rsidRDefault="008B0EFC" w:rsidP="008B0EFC">
      <w:pPr>
        <w:pStyle w:val="ListParagraph"/>
        <w:numPr>
          <w:ilvl w:val="0"/>
          <w:numId w:val="3"/>
        </w:numPr>
        <w:spacing w:line="480" w:lineRule="auto"/>
        <w:rPr>
          <w:sz w:val="24"/>
          <w:szCs w:val="24"/>
        </w:rPr>
      </w:pPr>
      <w:r>
        <w:rPr>
          <w:sz w:val="24"/>
          <w:szCs w:val="24"/>
        </w:rPr>
        <w:t>Frigidaire freezer less refrigerator</w:t>
      </w:r>
      <w:r>
        <w:rPr>
          <w:sz w:val="24"/>
          <w:szCs w:val="24"/>
        </w:rPr>
        <w:tab/>
        <w:t>$   715.00</w:t>
      </w:r>
    </w:p>
    <w:p w:rsidR="00AA2D4F" w:rsidRDefault="00AA2D4F" w:rsidP="008B0EFC">
      <w:pPr>
        <w:pStyle w:val="ListParagraph"/>
        <w:numPr>
          <w:ilvl w:val="0"/>
          <w:numId w:val="3"/>
        </w:numPr>
        <w:spacing w:line="480" w:lineRule="auto"/>
        <w:rPr>
          <w:sz w:val="24"/>
          <w:szCs w:val="24"/>
        </w:rPr>
      </w:pPr>
      <w:r>
        <w:rPr>
          <w:sz w:val="24"/>
          <w:szCs w:val="24"/>
        </w:rPr>
        <w:t>Frigidaire freezer</w:t>
      </w:r>
      <w:r>
        <w:rPr>
          <w:sz w:val="24"/>
          <w:szCs w:val="24"/>
        </w:rPr>
        <w:tab/>
      </w:r>
      <w:r>
        <w:rPr>
          <w:sz w:val="24"/>
          <w:szCs w:val="24"/>
        </w:rPr>
        <w:tab/>
      </w:r>
      <w:r>
        <w:rPr>
          <w:sz w:val="24"/>
          <w:szCs w:val="24"/>
        </w:rPr>
        <w:tab/>
      </w:r>
      <w:r>
        <w:rPr>
          <w:sz w:val="24"/>
          <w:szCs w:val="24"/>
        </w:rPr>
        <w:tab/>
        <w:t>$   715.00</w:t>
      </w:r>
    </w:p>
    <w:p w:rsidR="00AA2D4F" w:rsidRDefault="00AA2D4F" w:rsidP="008B0EFC">
      <w:pPr>
        <w:pStyle w:val="ListParagraph"/>
        <w:numPr>
          <w:ilvl w:val="0"/>
          <w:numId w:val="3"/>
        </w:numPr>
        <w:spacing w:line="480" w:lineRule="auto"/>
        <w:rPr>
          <w:sz w:val="24"/>
          <w:szCs w:val="24"/>
        </w:rPr>
      </w:pPr>
      <w:r>
        <w:rPr>
          <w:sz w:val="24"/>
          <w:szCs w:val="24"/>
        </w:rPr>
        <w:t>Trim kit for freezer and refrigerator</w:t>
      </w:r>
      <w:r>
        <w:rPr>
          <w:sz w:val="24"/>
          <w:szCs w:val="24"/>
        </w:rPr>
        <w:tab/>
        <w:t>$   200.00</w:t>
      </w:r>
    </w:p>
    <w:p w:rsidR="00AA2D4F" w:rsidRDefault="00AA2D4F" w:rsidP="00AA2D4F">
      <w:pPr>
        <w:pStyle w:val="ListParagraph"/>
        <w:numPr>
          <w:ilvl w:val="0"/>
          <w:numId w:val="3"/>
        </w:numPr>
        <w:rPr>
          <w:sz w:val="24"/>
          <w:szCs w:val="24"/>
        </w:rPr>
      </w:pPr>
      <w:proofErr w:type="spellStart"/>
      <w:r>
        <w:rPr>
          <w:sz w:val="24"/>
          <w:szCs w:val="24"/>
        </w:rPr>
        <w:t>Jenn</w:t>
      </w:r>
      <w:proofErr w:type="spellEnd"/>
      <w:r>
        <w:rPr>
          <w:sz w:val="24"/>
          <w:szCs w:val="24"/>
        </w:rPr>
        <w:t xml:space="preserve">-Air 48 inch oven, vent hood and </w:t>
      </w:r>
    </w:p>
    <w:p w:rsidR="00AA2D4F" w:rsidRDefault="00AA2D4F" w:rsidP="00AA2D4F">
      <w:pPr>
        <w:ind w:left="720" w:firstLine="360"/>
        <w:rPr>
          <w:sz w:val="24"/>
          <w:szCs w:val="24"/>
        </w:rPr>
      </w:pPr>
      <w:r w:rsidRPr="00AA2D4F">
        <w:rPr>
          <w:sz w:val="24"/>
          <w:szCs w:val="24"/>
        </w:rPr>
        <w:t>Backsplash</w:t>
      </w:r>
      <w:r>
        <w:rPr>
          <w:sz w:val="24"/>
          <w:szCs w:val="24"/>
        </w:rPr>
        <w:tab/>
      </w:r>
      <w:r>
        <w:rPr>
          <w:sz w:val="24"/>
          <w:szCs w:val="24"/>
        </w:rPr>
        <w:tab/>
      </w:r>
      <w:r>
        <w:rPr>
          <w:sz w:val="24"/>
          <w:szCs w:val="24"/>
        </w:rPr>
        <w:tab/>
      </w:r>
      <w:r>
        <w:rPr>
          <w:sz w:val="24"/>
          <w:szCs w:val="24"/>
        </w:rPr>
        <w:tab/>
        <w:t>$ 7,804.65</w:t>
      </w:r>
    </w:p>
    <w:p w:rsidR="00AA2D4F" w:rsidRDefault="00AA2D4F" w:rsidP="00AA2D4F">
      <w:pPr>
        <w:ind w:left="720" w:firstLine="360"/>
        <w:rPr>
          <w:sz w:val="24"/>
          <w:szCs w:val="24"/>
        </w:rPr>
      </w:pPr>
    </w:p>
    <w:p w:rsidR="00AA2D4F" w:rsidRDefault="00AA2D4F" w:rsidP="00AA2D4F">
      <w:pPr>
        <w:pStyle w:val="ListParagraph"/>
        <w:numPr>
          <w:ilvl w:val="0"/>
          <w:numId w:val="3"/>
        </w:numPr>
        <w:spacing w:line="480" w:lineRule="auto"/>
        <w:rPr>
          <w:sz w:val="24"/>
          <w:szCs w:val="24"/>
        </w:rPr>
      </w:pPr>
      <w:r>
        <w:rPr>
          <w:sz w:val="24"/>
          <w:szCs w:val="24"/>
        </w:rPr>
        <w:t>Frigidaire freezer less refrigerator</w:t>
      </w:r>
      <w:r>
        <w:rPr>
          <w:sz w:val="24"/>
          <w:szCs w:val="24"/>
        </w:rPr>
        <w:tab/>
        <w:t>$    825.00</w:t>
      </w:r>
    </w:p>
    <w:p w:rsidR="00AA2D4F" w:rsidRDefault="00AA2D4F" w:rsidP="00AA2D4F">
      <w:pPr>
        <w:pStyle w:val="ListParagraph"/>
        <w:numPr>
          <w:ilvl w:val="0"/>
          <w:numId w:val="3"/>
        </w:numPr>
        <w:spacing w:line="480" w:lineRule="auto"/>
        <w:rPr>
          <w:sz w:val="24"/>
          <w:szCs w:val="24"/>
        </w:rPr>
      </w:pPr>
      <w:r>
        <w:rPr>
          <w:sz w:val="24"/>
          <w:szCs w:val="24"/>
        </w:rPr>
        <w:t>Frigidaire freezer</w:t>
      </w:r>
      <w:r>
        <w:rPr>
          <w:sz w:val="24"/>
          <w:szCs w:val="24"/>
        </w:rPr>
        <w:tab/>
      </w:r>
      <w:r>
        <w:rPr>
          <w:sz w:val="24"/>
          <w:szCs w:val="24"/>
        </w:rPr>
        <w:tab/>
      </w:r>
      <w:r>
        <w:rPr>
          <w:sz w:val="24"/>
          <w:szCs w:val="24"/>
        </w:rPr>
        <w:tab/>
      </w:r>
      <w:r>
        <w:rPr>
          <w:sz w:val="24"/>
          <w:szCs w:val="24"/>
        </w:rPr>
        <w:tab/>
        <w:t>$    825.00</w:t>
      </w:r>
    </w:p>
    <w:p w:rsidR="00AA2D4F" w:rsidRDefault="00AA2D4F" w:rsidP="00AA2D4F">
      <w:pPr>
        <w:pStyle w:val="ListParagraph"/>
        <w:numPr>
          <w:ilvl w:val="0"/>
          <w:numId w:val="3"/>
        </w:numPr>
        <w:spacing w:line="480" w:lineRule="auto"/>
        <w:rPr>
          <w:sz w:val="24"/>
          <w:szCs w:val="24"/>
        </w:rPr>
      </w:pPr>
      <w:r>
        <w:rPr>
          <w:sz w:val="24"/>
          <w:szCs w:val="24"/>
        </w:rPr>
        <w:t>Frigidaire electric oven</w:t>
      </w:r>
      <w:r>
        <w:rPr>
          <w:sz w:val="24"/>
          <w:szCs w:val="24"/>
        </w:rPr>
        <w:tab/>
      </w:r>
      <w:r>
        <w:rPr>
          <w:sz w:val="24"/>
          <w:szCs w:val="24"/>
        </w:rPr>
        <w:tab/>
      </w:r>
      <w:r>
        <w:rPr>
          <w:sz w:val="24"/>
          <w:szCs w:val="24"/>
        </w:rPr>
        <w:tab/>
        <w:t>$    495.00</w:t>
      </w:r>
    </w:p>
    <w:p w:rsidR="00AA2D4F" w:rsidRPr="00AA2D4F" w:rsidRDefault="00AA2D4F" w:rsidP="00AA2D4F">
      <w:pPr>
        <w:pStyle w:val="ListParagraph"/>
        <w:numPr>
          <w:ilvl w:val="0"/>
          <w:numId w:val="3"/>
        </w:numPr>
        <w:spacing w:line="480" w:lineRule="auto"/>
        <w:rPr>
          <w:sz w:val="24"/>
          <w:szCs w:val="24"/>
        </w:rPr>
      </w:pPr>
      <w:r>
        <w:rPr>
          <w:sz w:val="24"/>
          <w:szCs w:val="24"/>
        </w:rPr>
        <w:t>Samsung oven the range microwave</w:t>
      </w:r>
      <w:r>
        <w:rPr>
          <w:sz w:val="24"/>
          <w:szCs w:val="24"/>
        </w:rPr>
        <w:tab/>
        <w:t>$    223.20</w:t>
      </w:r>
    </w:p>
    <w:p w:rsidR="00422988" w:rsidRDefault="00AA2D4F" w:rsidP="00422988">
      <w:pPr>
        <w:spacing w:line="480" w:lineRule="auto"/>
        <w:ind w:firstLine="720"/>
        <w:rPr>
          <w:sz w:val="24"/>
          <w:szCs w:val="24"/>
        </w:rPr>
      </w:pPr>
      <w:r>
        <w:rPr>
          <w:sz w:val="24"/>
          <w:szCs w:val="24"/>
        </w:rPr>
        <w:t>I</w:t>
      </w:r>
      <w:r w:rsidR="00422988">
        <w:rPr>
          <w:sz w:val="24"/>
          <w:szCs w:val="24"/>
        </w:rPr>
        <w:t>n his post</w:t>
      </w:r>
      <w:r w:rsidR="007E3C55">
        <w:rPr>
          <w:sz w:val="24"/>
          <w:szCs w:val="24"/>
        </w:rPr>
        <w:t>-</w:t>
      </w:r>
      <w:r w:rsidR="00422988">
        <w:rPr>
          <w:sz w:val="24"/>
          <w:szCs w:val="24"/>
        </w:rPr>
        <w:t>trial brief, counsel for Unity has written:</w:t>
      </w:r>
    </w:p>
    <w:p w:rsidR="00A5003B" w:rsidRDefault="00AA2D4F" w:rsidP="00A5003B">
      <w:pPr>
        <w:ind w:left="720" w:right="720"/>
        <w:rPr>
          <w:sz w:val="24"/>
          <w:szCs w:val="24"/>
        </w:rPr>
      </w:pPr>
      <w:r>
        <w:rPr>
          <w:sz w:val="24"/>
          <w:szCs w:val="24"/>
        </w:rPr>
        <w:t xml:space="preserve">The historical use by Unity in all agreements of the term “appliance” obviously is intended to mean and refer to the definition as provided in the Merriam-Webster Dictionary as “a piece of equipment for adapting a tool or machine to a special purpose” when appearing with “tool” (“a handheld device that aids in accomplishing a task…something (as an instrument or apparatus) used in performing an operation or necessary in the practice of a vocation or profession”) and “implement” (“such things as are used or employed for a trade…particularly applied to tools, utensils, instrument of labor; as the implements of trade </w:t>
      </w:r>
      <w:r w:rsidR="00A5003B">
        <w:rPr>
          <w:sz w:val="24"/>
          <w:szCs w:val="24"/>
        </w:rPr>
        <w:t>or of farming.)  Farris should not be permitted to hide in any ambiguities of the agreement his attorney prepared to further delay payment.</w:t>
      </w:r>
    </w:p>
    <w:p w:rsidR="00A5003B" w:rsidRDefault="00A5003B" w:rsidP="00A5003B">
      <w:pPr>
        <w:ind w:left="720" w:right="720"/>
        <w:rPr>
          <w:sz w:val="24"/>
          <w:szCs w:val="24"/>
        </w:rPr>
      </w:pPr>
    </w:p>
    <w:p w:rsidR="00603CD4" w:rsidRDefault="00422988" w:rsidP="00422988">
      <w:pPr>
        <w:spacing w:line="480" w:lineRule="auto"/>
        <w:ind w:firstLine="720"/>
        <w:rPr>
          <w:sz w:val="24"/>
          <w:szCs w:val="24"/>
        </w:rPr>
      </w:pPr>
      <w:r>
        <w:rPr>
          <w:sz w:val="24"/>
          <w:szCs w:val="24"/>
        </w:rPr>
        <w:t>Given the context of the sentence – that builder furnishes the “necessary permits, inspections, labor and material, including tools, implements and appliances to complete the project”</w:t>
      </w:r>
      <w:r w:rsidR="00603CD4">
        <w:rPr>
          <w:sz w:val="24"/>
          <w:szCs w:val="24"/>
        </w:rPr>
        <w:t xml:space="preserve"> -</w:t>
      </w:r>
      <w:r>
        <w:rPr>
          <w:sz w:val="24"/>
          <w:szCs w:val="24"/>
        </w:rPr>
        <w:t xml:space="preserve"> the only common sense interpretation is that argued by Unity’</w:t>
      </w:r>
      <w:r w:rsidR="00603CD4">
        <w:rPr>
          <w:sz w:val="24"/>
          <w:szCs w:val="24"/>
        </w:rPr>
        <w:t>s counsel:</w:t>
      </w:r>
      <w:r>
        <w:rPr>
          <w:sz w:val="24"/>
          <w:szCs w:val="24"/>
        </w:rPr>
        <w:t xml:space="preserve"> that the parties are referring to equipment customarily used in building which is necessary for accomplishing the construction objective.  </w:t>
      </w:r>
    </w:p>
    <w:p w:rsidR="00603CD4" w:rsidRDefault="00422988" w:rsidP="00603CD4">
      <w:pPr>
        <w:spacing w:line="480" w:lineRule="auto"/>
        <w:ind w:firstLine="720"/>
        <w:rPr>
          <w:sz w:val="24"/>
          <w:szCs w:val="24"/>
        </w:rPr>
      </w:pPr>
      <w:r>
        <w:rPr>
          <w:sz w:val="24"/>
          <w:szCs w:val="24"/>
        </w:rPr>
        <w:t xml:space="preserve">Furthermore, counsel for </w:t>
      </w:r>
      <w:r w:rsidR="00603CD4">
        <w:rPr>
          <w:sz w:val="24"/>
          <w:szCs w:val="24"/>
        </w:rPr>
        <w:t>the</w:t>
      </w:r>
      <w:r>
        <w:rPr>
          <w:sz w:val="24"/>
          <w:szCs w:val="24"/>
        </w:rPr>
        <w:t xml:space="preserve"> </w:t>
      </w:r>
      <w:proofErr w:type="spellStart"/>
      <w:r>
        <w:rPr>
          <w:sz w:val="24"/>
          <w:szCs w:val="24"/>
        </w:rPr>
        <w:t>Farris</w:t>
      </w:r>
      <w:r w:rsidR="00603CD4">
        <w:rPr>
          <w:sz w:val="24"/>
          <w:szCs w:val="24"/>
        </w:rPr>
        <w:t>es</w:t>
      </w:r>
      <w:proofErr w:type="spellEnd"/>
      <w:r>
        <w:rPr>
          <w:sz w:val="24"/>
          <w:szCs w:val="24"/>
        </w:rPr>
        <w:t xml:space="preserve"> drafted the agreement; and in the event of any ambiguity, such should be construed against the one who drafted it.  </w:t>
      </w:r>
      <w:r w:rsidR="00603CD4">
        <w:rPr>
          <w:sz w:val="24"/>
          <w:szCs w:val="24"/>
        </w:rPr>
        <w:t>In that regard, i</w:t>
      </w:r>
      <w:r>
        <w:rPr>
          <w:sz w:val="24"/>
          <w:szCs w:val="24"/>
        </w:rPr>
        <w:t xml:space="preserve">t is significant that trial counsel for the </w:t>
      </w:r>
      <w:proofErr w:type="spellStart"/>
      <w:r>
        <w:rPr>
          <w:sz w:val="24"/>
          <w:szCs w:val="24"/>
        </w:rPr>
        <w:t>Farrises</w:t>
      </w:r>
      <w:proofErr w:type="spellEnd"/>
      <w:r>
        <w:rPr>
          <w:sz w:val="24"/>
          <w:szCs w:val="24"/>
        </w:rPr>
        <w:t xml:space="preserve"> chose not to call the attorney draftsman of this contract, Scott </w:t>
      </w:r>
      <w:proofErr w:type="spellStart"/>
      <w:r>
        <w:rPr>
          <w:sz w:val="24"/>
          <w:szCs w:val="24"/>
        </w:rPr>
        <w:t>Chafin</w:t>
      </w:r>
      <w:proofErr w:type="spellEnd"/>
      <w:r>
        <w:rPr>
          <w:sz w:val="24"/>
          <w:szCs w:val="24"/>
        </w:rPr>
        <w:t xml:space="preserve">.  </w:t>
      </w:r>
    </w:p>
    <w:p w:rsidR="003E2E23" w:rsidRDefault="00422988" w:rsidP="00603CD4">
      <w:pPr>
        <w:spacing w:line="480" w:lineRule="auto"/>
        <w:ind w:firstLine="720"/>
        <w:rPr>
          <w:sz w:val="24"/>
          <w:szCs w:val="24"/>
        </w:rPr>
      </w:pPr>
      <w:r>
        <w:rPr>
          <w:sz w:val="24"/>
          <w:szCs w:val="24"/>
        </w:rPr>
        <w:lastRenderedPageBreak/>
        <w:t xml:space="preserve">Moreover, </w:t>
      </w:r>
      <w:r w:rsidR="00603CD4">
        <w:rPr>
          <w:sz w:val="24"/>
          <w:szCs w:val="24"/>
        </w:rPr>
        <w:t>sub</w:t>
      </w:r>
      <w:r>
        <w:rPr>
          <w:sz w:val="24"/>
          <w:szCs w:val="24"/>
        </w:rPr>
        <w:t xml:space="preserve">paragraph </w:t>
      </w:r>
      <w:r w:rsidR="003E2E23">
        <w:rPr>
          <w:sz w:val="24"/>
          <w:szCs w:val="24"/>
        </w:rPr>
        <w:t xml:space="preserve">1 </w:t>
      </w:r>
      <w:r>
        <w:rPr>
          <w:sz w:val="24"/>
          <w:szCs w:val="24"/>
        </w:rPr>
        <w:t xml:space="preserve">should be considered in light of the previous arrangement which Farris had with </w:t>
      </w:r>
      <w:proofErr w:type="spellStart"/>
      <w:r>
        <w:rPr>
          <w:sz w:val="24"/>
          <w:szCs w:val="24"/>
        </w:rPr>
        <w:t>Gafford</w:t>
      </w:r>
      <w:proofErr w:type="spellEnd"/>
      <w:r>
        <w:rPr>
          <w:sz w:val="24"/>
          <w:szCs w:val="24"/>
        </w:rPr>
        <w:t xml:space="preserve"> Design’s which had a ceiling allocation on kitchen appliances in the amount of $3,500.00.  </w:t>
      </w:r>
    </w:p>
    <w:p w:rsidR="00422988" w:rsidRDefault="00422988" w:rsidP="00603CD4">
      <w:pPr>
        <w:spacing w:line="480" w:lineRule="auto"/>
        <w:ind w:firstLine="720"/>
        <w:rPr>
          <w:sz w:val="24"/>
          <w:szCs w:val="24"/>
        </w:rPr>
      </w:pPr>
      <w:r>
        <w:rPr>
          <w:sz w:val="24"/>
          <w:szCs w:val="24"/>
        </w:rPr>
        <w:t xml:space="preserve">Finally, it would be absurd for Mr. Nelson to have left the appliance allocation wide open, given the price range of various grades and makes of kitchen appliances and the possibility of a homeowner choosing </w:t>
      </w:r>
      <w:r w:rsidR="00603CD4">
        <w:rPr>
          <w:sz w:val="24"/>
          <w:szCs w:val="24"/>
        </w:rPr>
        <w:t>as many as he wanted</w:t>
      </w:r>
      <w:r w:rsidR="003E2E23">
        <w:rPr>
          <w:sz w:val="24"/>
          <w:szCs w:val="24"/>
        </w:rPr>
        <w:t>,</w:t>
      </w:r>
      <w:r w:rsidR="00603CD4">
        <w:rPr>
          <w:sz w:val="24"/>
          <w:szCs w:val="24"/>
        </w:rPr>
        <w:t xml:space="preserve"> of whatever make and grade </w:t>
      </w:r>
      <w:r>
        <w:rPr>
          <w:sz w:val="24"/>
          <w:szCs w:val="24"/>
        </w:rPr>
        <w:t>at his complete whim and fancy.  Such a construction would lead to an absurd consequence.</w:t>
      </w:r>
    </w:p>
    <w:p w:rsidR="00422988" w:rsidRPr="00422988" w:rsidRDefault="00422988" w:rsidP="00422988">
      <w:pPr>
        <w:spacing w:line="480" w:lineRule="auto"/>
        <w:ind w:firstLine="720"/>
        <w:rPr>
          <w:sz w:val="24"/>
          <w:szCs w:val="24"/>
        </w:rPr>
      </w:pPr>
      <w:r>
        <w:rPr>
          <w:sz w:val="24"/>
          <w:szCs w:val="24"/>
        </w:rPr>
        <w:t xml:space="preserve">Accordingly, for these reasons, the </w:t>
      </w:r>
      <w:proofErr w:type="spellStart"/>
      <w:r>
        <w:rPr>
          <w:sz w:val="24"/>
          <w:szCs w:val="24"/>
        </w:rPr>
        <w:t>Farrises</w:t>
      </w:r>
      <w:proofErr w:type="spellEnd"/>
      <w:r>
        <w:rPr>
          <w:sz w:val="24"/>
          <w:szCs w:val="24"/>
        </w:rPr>
        <w:t xml:space="preserve">’ claim for $15,064.44 credit or offset against </w:t>
      </w:r>
      <w:r w:rsidR="00603CD4">
        <w:rPr>
          <w:sz w:val="24"/>
          <w:szCs w:val="24"/>
        </w:rPr>
        <w:t xml:space="preserve">the </w:t>
      </w:r>
      <w:r>
        <w:rPr>
          <w:sz w:val="24"/>
          <w:szCs w:val="24"/>
        </w:rPr>
        <w:t xml:space="preserve">amount </w:t>
      </w:r>
      <w:r w:rsidR="00603CD4">
        <w:rPr>
          <w:sz w:val="24"/>
          <w:szCs w:val="24"/>
        </w:rPr>
        <w:t xml:space="preserve">of $35,252.18 claimed by </w:t>
      </w:r>
      <w:r>
        <w:rPr>
          <w:sz w:val="24"/>
          <w:szCs w:val="24"/>
        </w:rPr>
        <w:t xml:space="preserve">Unity </w:t>
      </w:r>
      <w:r w:rsidR="00603CD4">
        <w:rPr>
          <w:sz w:val="24"/>
          <w:szCs w:val="24"/>
        </w:rPr>
        <w:t xml:space="preserve">as owed is </w:t>
      </w:r>
      <w:r>
        <w:rPr>
          <w:sz w:val="24"/>
          <w:szCs w:val="24"/>
        </w:rPr>
        <w:t>denied.</w:t>
      </w:r>
    </w:p>
    <w:p w:rsidR="00422988" w:rsidRPr="009301A4" w:rsidRDefault="008E6005" w:rsidP="00422988">
      <w:pPr>
        <w:spacing w:line="480" w:lineRule="auto"/>
        <w:jc w:val="center"/>
        <w:rPr>
          <w:b/>
          <w:sz w:val="28"/>
          <w:szCs w:val="28"/>
        </w:rPr>
      </w:pPr>
      <w:r w:rsidRPr="009301A4">
        <w:rPr>
          <w:b/>
          <w:sz w:val="28"/>
          <w:szCs w:val="28"/>
        </w:rPr>
        <w:t>FARRIS CLAIM FOR CREDIT FOR MATERIALS</w:t>
      </w:r>
    </w:p>
    <w:p w:rsidR="00422988" w:rsidRDefault="00422988" w:rsidP="00422988">
      <w:pPr>
        <w:spacing w:line="480" w:lineRule="auto"/>
        <w:rPr>
          <w:sz w:val="24"/>
          <w:szCs w:val="24"/>
        </w:rPr>
      </w:pPr>
      <w:r>
        <w:rPr>
          <w:sz w:val="24"/>
          <w:szCs w:val="24"/>
        </w:rPr>
        <w:t xml:space="preserve">      </w:t>
      </w:r>
      <w:r>
        <w:rPr>
          <w:sz w:val="24"/>
          <w:szCs w:val="24"/>
        </w:rPr>
        <w:tab/>
        <w:t xml:space="preserve">The </w:t>
      </w:r>
      <w:proofErr w:type="spellStart"/>
      <w:r>
        <w:rPr>
          <w:sz w:val="24"/>
          <w:szCs w:val="24"/>
        </w:rPr>
        <w:t>Farrises</w:t>
      </w:r>
      <w:proofErr w:type="spellEnd"/>
      <w:r>
        <w:rPr>
          <w:sz w:val="24"/>
          <w:szCs w:val="24"/>
        </w:rPr>
        <w:t xml:space="preserve"> claim that they should also receive a credit or offset in the amount of $13,156.97 against the amount</w:t>
      </w:r>
      <w:r w:rsidR="00603CD4">
        <w:rPr>
          <w:sz w:val="24"/>
          <w:szCs w:val="24"/>
        </w:rPr>
        <w:t xml:space="preserve"> of $35,252.18</w:t>
      </w:r>
      <w:r>
        <w:rPr>
          <w:sz w:val="24"/>
          <w:szCs w:val="24"/>
        </w:rPr>
        <w:t>.</w:t>
      </w:r>
    </w:p>
    <w:p w:rsidR="00422988" w:rsidRDefault="007E3C55" w:rsidP="00422988">
      <w:pPr>
        <w:spacing w:line="480" w:lineRule="auto"/>
        <w:ind w:firstLine="720"/>
        <w:rPr>
          <w:sz w:val="24"/>
          <w:szCs w:val="24"/>
        </w:rPr>
      </w:pPr>
      <w:r>
        <w:rPr>
          <w:sz w:val="24"/>
          <w:szCs w:val="24"/>
        </w:rPr>
        <w:t>In the post-</w:t>
      </w:r>
      <w:r w:rsidR="00422988">
        <w:rPr>
          <w:sz w:val="24"/>
          <w:szCs w:val="24"/>
        </w:rPr>
        <w:t xml:space="preserve">trial brief, </w:t>
      </w:r>
      <w:proofErr w:type="spellStart"/>
      <w:r w:rsidR="00422988">
        <w:rPr>
          <w:sz w:val="24"/>
          <w:szCs w:val="24"/>
        </w:rPr>
        <w:t>Farris</w:t>
      </w:r>
      <w:r>
        <w:rPr>
          <w:sz w:val="24"/>
          <w:szCs w:val="24"/>
        </w:rPr>
        <w:t>es</w:t>
      </w:r>
      <w:proofErr w:type="spellEnd"/>
      <w:r w:rsidR="00422988">
        <w:rPr>
          <w:sz w:val="24"/>
          <w:szCs w:val="24"/>
        </w:rPr>
        <w:t>’ counsel bases this figure of $13,156.97</w:t>
      </w:r>
      <w:r w:rsidR="00474E8B">
        <w:rPr>
          <w:sz w:val="24"/>
          <w:szCs w:val="24"/>
        </w:rPr>
        <w:t xml:space="preserve"> on amounts paid by Mr. Farris for the “water well, granite, travertine and  glass tiles, grout, caulk, paint rollers, doors and other supplies and materials which are not plumbing fixtures…”  Counsel </w:t>
      </w:r>
      <w:r w:rsidR="00603CD4">
        <w:rPr>
          <w:sz w:val="24"/>
          <w:szCs w:val="24"/>
        </w:rPr>
        <w:t xml:space="preserve">for the </w:t>
      </w:r>
      <w:proofErr w:type="spellStart"/>
      <w:r w:rsidR="00603CD4">
        <w:rPr>
          <w:sz w:val="24"/>
          <w:szCs w:val="24"/>
        </w:rPr>
        <w:t>Farrises</w:t>
      </w:r>
      <w:proofErr w:type="spellEnd"/>
      <w:r w:rsidR="00603CD4">
        <w:rPr>
          <w:sz w:val="24"/>
          <w:szCs w:val="24"/>
        </w:rPr>
        <w:t xml:space="preserve"> </w:t>
      </w:r>
      <w:r w:rsidR="00474E8B">
        <w:rPr>
          <w:sz w:val="24"/>
          <w:szCs w:val="24"/>
        </w:rPr>
        <w:t xml:space="preserve">has also argued at trial and in brief that the attachment to Unity Exhibit 3 was not part of the Residential Construction Agreement Addendum.  The Court concludes that </w:t>
      </w:r>
      <w:r w:rsidR="00603CD4">
        <w:rPr>
          <w:sz w:val="24"/>
          <w:szCs w:val="24"/>
        </w:rPr>
        <w:t xml:space="preserve">the </w:t>
      </w:r>
      <w:r w:rsidR="00474E8B">
        <w:rPr>
          <w:sz w:val="24"/>
          <w:szCs w:val="24"/>
        </w:rPr>
        <w:t>document titled “Invoice” on Unity Construction Remodeling letterhead is the “attached Estimate” referenced on the Addendum.  Specifically, the agreement provides,</w:t>
      </w:r>
    </w:p>
    <w:p w:rsidR="00474E8B" w:rsidRDefault="00474E8B" w:rsidP="00474E8B">
      <w:pPr>
        <w:ind w:left="720" w:right="720"/>
        <w:rPr>
          <w:sz w:val="24"/>
          <w:szCs w:val="24"/>
        </w:rPr>
      </w:pPr>
      <w:r>
        <w:rPr>
          <w:sz w:val="24"/>
          <w:szCs w:val="24"/>
        </w:rPr>
        <w:t xml:space="preserve">This cost ($195,928.00) does not include the figures included in the attached </w:t>
      </w:r>
      <w:proofErr w:type="gramStart"/>
      <w:r>
        <w:rPr>
          <w:sz w:val="24"/>
          <w:szCs w:val="24"/>
        </w:rPr>
        <w:t>estimates which represents</w:t>
      </w:r>
      <w:proofErr w:type="gramEnd"/>
      <w:r>
        <w:rPr>
          <w:sz w:val="24"/>
          <w:szCs w:val="24"/>
        </w:rPr>
        <w:t xml:space="preserve"> additional costs necessary to complete the house.  Such costs included in the attached Estimate represent costs and expense which have been paid to the previous contractor for work that the previous contractor has either not performed, or for  repairs necessary to such work.</w:t>
      </w:r>
    </w:p>
    <w:p w:rsidR="00474E8B" w:rsidRDefault="00474E8B" w:rsidP="00474E8B">
      <w:pPr>
        <w:ind w:left="720" w:right="720"/>
        <w:rPr>
          <w:sz w:val="24"/>
          <w:szCs w:val="24"/>
        </w:rPr>
      </w:pPr>
    </w:p>
    <w:p w:rsidR="00221F8F" w:rsidRDefault="00474E8B" w:rsidP="00474E8B">
      <w:pPr>
        <w:spacing w:line="480" w:lineRule="auto"/>
        <w:rPr>
          <w:sz w:val="24"/>
          <w:szCs w:val="24"/>
        </w:rPr>
      </w:pPr>
      <w:r>
        <w:rPr>
          <w:sz w:val="24"/>
          <w:szCs w:val="24"/>
        </w:rPr>
        <w:tab/>
        <w:t>As was the ca</w:t>
      </w:r>
      <w:r w:rsidR="00603CD4">
        <w:rPr>
          <w:sz w:val="24"/>
          <w:szCs w:val="24"/>
        </w:rPr>
        <w:t>s</w:t>
      </w:r>
      <w:r>
        <w:rPr>
          <w:sz w:val="24"/>
          <w:szCs w:val="24"/>
        </w:rPr>
        <w:t xml:space="preserve">e regarding the “appliance” discussion, Attorney Scott </w:t>
      </w:r>
      <w:proofErr w:type="spellStart"/>
      <w:r>
        <w:rPr>
          <w:sz w:val="24"/>
          <w:szCs w:val="24"/>
        </w:rPr>
        <w:t>Chafin</w:t>
      </w:r>
      <w:proofErr w:type="spellEnd"/>
      <w:r>
        <w:rPr>
          <w:sz w:val="24"/>
          <w:szCs w:val="24"/>
        </w:rPr>
        <w:t xml:space="preserve"> was not called to provide testimony or to present any documents in his file.  Again, </w:t>
      </w:r>
      <w:r w:rsidR="00603CD4">
        <w:rPr>
          <w:sz w:val="24"/>
          <w:szCs w:val="24"/>
        </w:rPr>
        <w:t xml:space="preserve">assuming there to be an ambiguity, such </w:t>
      </w:r>
      <w:r w:rsidR="001B0B32">
        <w:rPr>
          <w:sz w:val="24"/>
          <w:szCs w:val="24"/>
        </w:rPr>
        <w:t xml:space="preserve">should be resolved against the one who drafted the addendum and surely </w:t>
      </w:r>
    </w:p>
    <w:p w:rsidR="00382E75" w:rsidRDefault="001B0B32" w:rsidP="00474E8B">
      <w:pPr>
        <w:spacing w:line="480" w:lineRule="auto"/>
        <w:rPr>
          <w:sz w:val="24"/>
          <w:szCs w:val="24"/>
        </w:rPr>
      </w:pPr>
      <w:proofErr w:type="gramStart"/>
      <w:r>
        <w:rPr>
          <w:sz w:val="24"/>
          <w:szCs w:val="24"/>
        </w:rPr>
        <w:t>examined</w:t>
      </w:r>
      <w:proofErr w:type="gramEnd"/>
      <w:r>
        <w:rPr>
          <w:sz w:val="24"/>
          <w:szCs w:val="24"/>
        </w:rPr>
        <w:t xml:space="preserve"> the “estimate” referenced therein.  Accordingly, the claim for </w:t>
      </w:r>
      <w:r w:rsidR="00DE03D2">
        <w:rPr>
          <w:sz w:val="24"/>
          <w:szCs w:val="24"/>
        </w:rPr>
        <w:t>an offset of $13,156.97 is denied.</w:t>
      </w:r>
    </w:p>
    <w:p w:rsidR="00262875" w:rsidRDefault="00262875" w:rsidP="00603CD4">
      <w:pPr>
        <w:spacing w:line="480" w:lineRule="auto"/>
        <w:jc w:val="center"/>
        <w:rPr>
          <w:b/>
          <w:sz w:val="28"/>
          <w:szCs w:val="28"/>
        </w:rPr>
      </w:pPr>
    </w:p>
    <w:p w:rsidR="00262875" w:rsidRDefault="00262875" w:rsidP="00603CD4">
      <w:pPr>
        <w:spacing w:line="480" w:lineRule="auto"/>
        <w:jc w:val="center"/>
        <w:rPr>
          <w:b/>
          <w:sz w:val="28"/>
          <w:szCs w:val="28"/>
        </w:rPr>
      </w:pPr>
    </w:p>
    <w:p w:rsidR="00603CD4" w:rsidRPr="009301A4" w:rsidRDefault="008E6005" w:rsidP="00603CD4">
      <w:pPr>
        <w:spacing w:line="480" w:lineRule="auto"/>
        <w:jc w:val="center"/>
        <w:rPr>
          <w:b/>
          <w:sz w:val="28"/>
          <w:szCs w:val="28"/>
        </w:rPr>
      </w:pPr>
      <w:r w:rsidRPr="009301A4">
        <w:rPr>
          <w:b/>
          <w:sz w:val="28"/>
          <w:szCs w:val="28"/>
        </w:rPr>
        <w:lastRenderedPageBreak/>
        <w:t>FARRIS CLAIM FOR WOOD AND TILE CREDIT</w:t>
      </w:r>
    </w:p>
    <w:p w:rsidR="008E6005" w:rsidRDefault="00603CD4" w:rsidP="001B0B32">
      <w:pPr>
        <w:spacing w:line="480" w:lineRule="auto"/>
        <w:rPr>
          <w:sz w:val="24"/>
          <w:szCs w:val="24"/>
        </w:rPr>
      </w:pPr>
      <w:r>
        <w:rPr>
          <w:b/>
          <w:sz w:val="24"/>
          <w:szCs w:val="24"/>
        </w:rPr>
        <w:tab/>
      </w:r>
      <w:r>
        <w:rPr>
          <w:sz w:val="24"/>
          <w:szCs w:val="24"/>
        </w:rPr>
        <w:t xml:space="preserve">The </w:t>
      </w:r>
      <w:proofErr w:type="spellStart"/>
      <w:r>
        <w:rPr>
          <w:sz w:val="24"/>
          <w:szCs w:val="24"/>
        </w:rPr>
        <w:t>Farrises</w:t>
      </w:r>
      <w:proofErr w:type="spellEnd"/>
      <w:r>
        <w:rPr>
          <w:sz w:val="24"/>
          <w:szCs w:val="24"/>
        </w:rPr>
        <w:t xml:space="preserve"> also claim a credit of $7,375.00 against the amount claimed to be due Unity, $35,252.18, for wood and tile.  </w:t>
      </w:r>
      <w:r w:rsidR="00DE03D2" w:rsidRPr="00DE03D2">
        <w:rPr>
          <w:sz w:val="24"/>
          <w:szCs w:val="24"/>
        </w:rPr>
        <w:t>The Reside</w:t>
      </w:r>
      <w:r w:rsidR="00DE03D2">
        <w:rPr>
          <w:sz w:val="24"/>
          <w:szCs w:val="24"/>
        </w:rPr>
        <w:t xml:space="preserve">ntial Construction Agreement Addendum, signed by Melvin </w:t>
      </w:r>
      <w:r>
        <w:rPr>
          <w:sz w:val="24"/>
          <w:szCs w:val="24"/>
        </w:rPr>
        <w:t>N</w:t>
      </w:r>
      <w:r w:rsidR="00DE03D2">
        <w:rPr>
          <w:sz w:val="24"/>
          <w:szCs w:val="24"/>
        </w:rPr>
        <w:t xml:space="preserve">elson on behalf of </w:t>
      </w:r>
      <w:r>
        <w:rPr>
          <w:sz w:val="24"/>
          <w:szCs w:val="24"/>
        </w:rPr>
        <w:t>U</w:t>
      </w:r>
      <w:r w:rsidR="00DE03D2">
        <w:rPr>
          <w:sz w:val="24"/>
          <w:szCs w:val="24"/>
        </w:rPr>
        <w:t>nity provides as follows:</w:t>
      </w:r>
    </w:p>
    <w:p w:rsidR="00DE03D2" w:rsidRDefault="00DE03D2" w:rsidP="001B0B32">
      <w:pPr>
        <w:spacing w:line="480" w:lineRule="auto"/>
        <w:rPr>
          <w:sz w:val="24"/>
          <w:szCs w:val="24"/>
        </w:rPr>
      </w:pPr>
      <w:r>
        <w:rPr>
          <w:sz w:val="24"/>
          <w:szCs w:val="24"/>
        </w:rPr>
        <w:tab/>
        <w:t>ALLOWANCES FOR FLOORING</w:t>
      </w:r>
    </w:p>
    <w:p w:rsidR="00DE03D2" w:rsidRDefault="00DE03D2" w:rsidP="001B0B32">
      <w:pPr>
        <w:spacing w:line="480" w:lineRule="auto"/>
        <w:rPr>
          <w:sz w:val="24"/>
          <w:szCs w:val="24"/>
        </w:rPr>
      </w:pPr>
      <w:r>
        <w:rPr>
          <w:sz w:val="24"/>
          <w:szCs w:val="24"/>
        </w:rPr>
        <w:tab/>
        <w:t>Wood $1.25 sq. ft.</w:t>
      </w:r>
    </w:p>
    <w:p w:rsidR="00DE03D2" w:rsidRDefault="00DE03D2" w:rsidP="001B0B32">
      <w:pPr>
        <w:spacing w:line="480" w:lineRule="auto"/>
        <w:rPr>
          <w:sz w:val="24"/>
          <w:szCs w:val="24"/>
        </w:rPr>
      </w:pPr>
      <w:r>
        <w:rPr>
          <w:sz w:val="24"/>
          <w:szCs w:val="24"/>
        </w:rPr>
        <w:tab/>
      </w:r>
      <w:proofErr w:type="gramStart"/>
      <w:r>
        <w:rPr>
          <w:sz w:val="24"/>
          <w:szCs w:val="24"/>
        </w:rPr>
        <w:t>Tile $1.00 sq. ft.</w:t>
      </w:r>
      <w:proofErr w:type="gramEnd"/>
    </w:p>
    <w:p w:rsidR="00DE03D2" w:rsidRDefault="00603CD4" w:rsidP="001B0B32">
      <w:pPr>
        <w:spacing w:line="480" w:lineRule="auto"/>
        <w:rPr>
          <w:sz w:val="24"/>
          <w:szCs w:val="24"/>
        </w:rPr>
      </w:pPr>
      <w:r>
        <w:rPr>
          <w:sz w:val="24"/>
          <w:szCs w:val="24"/>
        </w:rPr>
        <w:tab/>
        <w:t xml:space="preserve">As pointed out by the </w:t>
      </w:r>
      <w:proofErr w:type="spellStart"/>
      <w:r w:rsidR="00DE03D2">
        <w:rPr>
          <w:sz w:val="24"/>
          <w:szCs w:val="24"/>
        </w:rPr>
        <w:t>Farris</w:t>
      </w:r>
      <w:r>
        <w:rPr>
          <w:sz w:val="24"/>
          <w:szCs w:val="24"/>
        </w:rPr>
        <w:t>es</w:t>
      </w:r>
      <w:proofErr w:type="spellEnd"/>
      <w:r>
        <w:rPr>
          <w:sz w:val="24"/>
          <w:szCs w:val="24"/>
        </w:rPr>
        <w:t>’</w:t>
      </w:r>
      <w:r w:rsidR="00DE03D2">
        <w:rPr>
          <w:sz w:val="24"/>
          <w:szCs w:val="24"/>
        </w:rPr>
        <w:t xml:space="preserve"> counsel “…the particular notations covering the allowance for flooring were given a special location all alone on the page of the contract and were written in all caps”. The evidence reflects that Farris paid more than that amount for the wood and tile.  Considering all of the circumstances of this case, the Court concludes that the </w:t>
      </w:r>
      <w:proofErr w:type="spellStart"/>
      <w:r w:rsidR="00DE03D2">
        <w:rPr>
          <w:sz w:val="24"/>
          <w:szCs w:val="24"/>
        </w:rPr>
        <w:t>Farrises</w:t>
      </w:r>
      <w:proofErr w:type="spellEnd"/>
      <w:r w:rsidR="00DE03D2">
        <w:rPr>
          <w:sz w:val="24"/>
          <w:szCs w:val="24"/>
        </w:rPr>
        <w:t xml:space="preserve"> should receive a credit of $7,375.00 as an offset against the amount owed to Unity.</w:t>
      </w:r>
    </w:p>
    <w:p w:rsidR="008E6005" w:rsidRPr="009301A4" w:rsidRDefault="008E6005" w:rsidP="008E6005">
      <w:pPr>
        <w:spacing w:line="480" w:lineRule="auto"/>
        <w:jc w:val="center"/>
        <w:rPr>
          <w:b/>
          <w:sz w:val="28"/>
          <w:szCs w:val="28"/>
        </w:rPr>
      </w:pPr>
      <w:r w:rsidRPr="009301A4">
        <w:rPr>
          <w:b/>
          <w:sz w:val="28"/>
          <w:szCs w:val="28"/>
        </w:rPr>
        <w:t>FARRIS CLAIM FOR AIRCO CREDIT</w:t>
      </w:r>
    </w:p>
    <w:p w:rsidR="0061614A" w:rsidRPr="0061614A" w:rsidRDefault="0061614A" w:rsidP="0061614A">
      <w:pPr>
        <w:spacing w:line="480" w:lineRule="auto"/>
        <w:rPr>
          <w:sz w:val="24"/>
          <w:szCs w:val="24"/>
        </w:rPr>
      </w:pPr>
      <w:r>
        <w:rPr>
          <w:sz w:val="24"/>
          <w:szCs w:val="24"/>
        </w:rPr>
        <w:tab/>
        <w:t>In its pretrial brief</w:t>
      </w:r>
      <w:r w:rsidR="00495FE8">
        <w:rPr>
          <w:sz w:val="24"/>
          <w:szCs w:val="24"/>
        </w:rPr>
        <w:t>,</w:t>
      </w:r>
      <w:r>
        <w:rPr>
          <w:sz w:val="24"/>
          <w:szCs w:val="24"/>
        </w:rPr>
        <w:t xml:space="preserve"> Unity concedes that on November 10, 2009 Mr. Farris paid AIRCO the amount due of $4,025.00 and, indeed, that payment is referenced by Farris check no. 4850, Plaintiff 6.  Therefore</w:t>
      </w:r>
      <w:r w:rsidR="00262875">
        <w:rPr>
          <w:sz w:val="24"/>
          <w:szCs w:val="24"/>
        </w:rPr>
        <w:t>,</w:t>
      </w:r>
      <w:r>
        <w:rPr>
          <w:sz w:val="24"/>
          <w:szCs w:val="24"/>
        </w:rPr>
        <w:t xml:space="preserve"> the </w:t>
      </w:r>
      <w:proofErr w:type="spellStart"/>
      <w:r>
        <w:rPr>
          <w:sz w:val="24"/>
          <w:szCs w:val="24"/>
        </w:rPr>
        <w:t>Farrises</w:t>
      </w:r>
      <w:proofErr w:type="spellEnd"/>
      <w:r>
        <w:rPr>
          <w:sz w:val="24"/>
          <w:szCs w:val="24"/>
        </w:rPr>
        <w:t xml:space="preserve"> are entitled to a credit of $4,025.00 against the amount claimed due by Unity.</w:t>
      </w:r>
    </w:p>
    <w:p w:rsidR="00CE1833" w:rsidRPr="009301A4" w:rsidRDefault="00CE1833" w:rsidP="00CE1833">
      <w:pPr>
        <w:spacing w:line="480" w:lineRule="auto"/>
        <w:jc w:val="center"/>
        <w:rPr>
          <w:b/>
          <w:sz w:val="28"/>
          <w:szCs w:val="28"/>
        </w:rPr>
      </w:pPr>
      <w:r w:rsidRPr="009301A4">
        <w:rPr>
          <w:b/>
          <w:sz w:val="28"/>
          <w:szCs w:val="28"/>
        </w:rPr>
        <w:t>FARRIS THIRD PARTY DEMAND AGAINST MELVIN NELSON</w:t>
      </w:r>
    </w:p>
    <w:p w:rsidR="008E6005" w:rsidRDefault="00CE1833" w:rsidP="00CE1833">
      <w:pPr>
        <w:spacing w:line="480" w:lineRule="auto"/>
        <w:ind w:firstLine="720"/>
        <w:rPr>
          <w:sz w:val="24"/>
          <w:szCs w:val="24"/>
        </w:rPr>
      </w:pPr>
      <w:r>
        <w:rPr>
          <w:sz w:val="24"/>
          <w:szCs w:val="24"/>
        </w:rPr>
        <w:t>By third party demand</w:t>
      </w:r>
      <w:r w:rsidR="00603CD4">
        <w:rPr>
          <w:sz w:val="24"/>
          <w:szCs w:val="24"/>
        </w:rPr>
        <w:t>,</w:t>
      </w:r>
      <w:r>
        <w:rPr>
          <w:sz w:val="24"/>
          <w:szCs w:val="24"/>
        </w:rPr>
        <w:t xml:space="preserve"> the </w:t>
      </w:r>
      <w:proofErr w:type="spellStart"/>
      <w:r>
        <w:rPr>
          <w:sz w:val="24"/>
          <w:szCs w:val="24"/>
        </w:rPr>
        <w:t>Farrises</w:t>
      </w:r>
      <w:proofErr w:type="spellEnd"/>
      <w:r>
        <w:rPr>
          <w:sz w:val="24"/>
          <w:szCs w:val="24"/>
        </w:rPr>
        <w:t xml:space="preserve"> have </w:t>
      </w:r>
      <w:r w:rsidR="00603CD4">
        <w:rPr>
          <w:sz w:val="24"/>
          <w:szCs w:val="24"/>
        </w:rPr>
        <w:t xml:space="preserve">sued </w:t>
      </w:r>
      <w:r>
        <w:rPr>
          <w:sz w:val="24"/>
          <w:szCs w:val="24"/>
        </w:rPr>
        <w:t>Melvin Nelson individually in which they assert intentional tort claims.  Because there is extremely scant evidence of any tortious conduct by Mr. Nelson, the Court concludes that judgment on the third party demand should be rendered in favor of Mr. Nelson.</w:t>
      </w:r>
    </w:p>
    <w:p w:rsidR="00CE1833" w:rsidRPr="009301A4" w:rsidRDefault="00CE1833" w:rsidP="00CE1833">
      <w:pPr>
        <w:spacing w:line="480" w:lineRule="auto"/>
        <w:jc w:val="center"/>
        <w:rPr>
          <w:b/>
          <w:sz w:val="28"/>
          <w:szCs w:val="28"/>
        </w:rPr>
      </w:pPr>
      <w:r w:rsidRPr="009301A4">
        <w:rPr>
          <w:b/>
          <w:sz w:val="28"/>
          <w:szCs w:val="28"/>
        </w:rPr>
        <w:t>ATTORNEY’S FEES</w:t>
      </w:r>
    </w:p>
    <w:p w:rsidR="00CE1833" w:rsidRDefault="00CE1833" w:rsidP="00CE1833">
      <w:pPr>
        <w:spacing w:line="480" w:lineRule="auto"/>
        <w:rPr>
          <w:sz w:val="24"/>
          <w:szCs w:val="24"/>
        </w:rPr>
      </w:pPr>
      <w:r>
        <w:rPr>
          <w:b/>
          <w:sz w:val="24"/>
          <w:szCs w:val="24"/>
        </w:rPr>
        <w:tab/>
      </w:r>
      <w:r>
        <w:rPr>
          <w:sz w:val="24"/>
          <w:szCs w:val="24"/>
        </w:rPr>
        <w:t xml:space="preserve">Unity’s counsel claims that this Court </w:t>
      </w:r>
      <w:r w:rsidR="003E2E23">
        <w:rPr>
          <w:sz w:val="24"/>
          <w:szCs w:val="24"/>
        </w:rPr>
        <w:t xml:space="preserve">should </w:t>
      </w:r>
      <w:r>
        <w:rPr>
          <w:sz w:val="24"/>
          <w:szCs w:val="24"/>
        </w:rPr>
        <w:t>asse</w:t>
      </w:r>
      <w:r w:rsidR="00A5003B">
        <w:rPr>
          <w:sz w:val="24"/>
          <w:szCs w:val="24"/>
        </w:rPr>
        <w:t>s</w:t>
      </w:r>
      <w:r>
        <w:rPr>
          <w:sz w:val="24"/>
          <w:szCs w:val="24"/>
        </w:rPr>
        <w:t>s attorney’s fees in the amount of $22,277.50.  He bases the recoverability of attorney’s fees on paragraph 13 as follows:</w:t>
      </w:r>
    </w:p>
    <w:p w:rsidR="00CE1833" w:rsidRDefault="00A5003B" w:rsidP="00A5003B">
      <w:pPr>
        <w:ind w:left="720" w:right="720"/>
        <w:rPr>
          <w:sz w:val="24"/>
          <w:szCs w:val="24"/>
        </w:rPr>
      </w:pPr>
      <w:r>
        <w:rPr>
          <w:sz w:val="24"/>
          <w:szCs w:val="24"/>
        </w:rPr>
        <w:t>Purchaser agrees to pay reasonable attorney fees and costs incurred by Builder associated with the collections arising from the Agreement made necessary by Purchaser’s breach or non-payment.  In the event that Purchaser fails to pay Builder at the time required in this contract, all sums due under this contract shall accrue interest at the rate of 12 percent per annum (or such rate which is the maximum permitted by law, whichever rate is less) from date due until paid.</w:t>
      </w:r>
    </w:p>
    <w:p w:rsidR="00A5003B" w:rsidRDefault="00A5003B" w:rsidP="00A5003B">
      <w:pPr>
        <w:ind w:left="720" w:right="720"/>
        <w:rPr>
          <w:sz w:val="24"/>
          <w:szCs w:val="24"/>
        </w:rPr>
      </w:pPr>
    </w:p>
    <w:p w:rsidR="00262875" w:rsidRDefault="00CE1833" w:rsidP="00262875">
      <w:pPr>
        <w:spacing w:line="480" w:lineRule="auto"/>
        <w:rPr>
          <w:sz w:val="24"/>
          <w:szCs w:val="24"/>
        </w:rPr>
      </w:pPr>
      <w:r>
        <w:rPr>
          <w:sz w:val="24"/>
          <w:szCs w:val="24"/>
        </w:rPr>
        <w:lastRenderedPageBreak/>
        <w:tab/>
        <w:t xml:space="preserve">In addition to this matter, Unity’s counsel includes work on two other suits, </w:t>
      </w:r>
      <w:r w:rsidRPr="007E3C55">
        <w:rPr>
          <w:i/>
          <w:sz w:val="24"/>
          <w:szCs w:val="24"/>
        </w:rPr>
        <w:t xml:space="preserve">Rick Farris, et </w:t>
      </w:r>
      <w:proofErr w:type="spellStart"/>
      <w:r w:rsidRPr="007E3C55">
        <w:rPr>
          <w:i/>
          <w:sz w:val="24"/>
          <w:szCs w:val="24"/>
        </w:rPr>
        <w:t>ux</w:t>
      </w:r>
      <w:proofErr w:type="spellEnd"/>
      <w:r w:rsidRPr="007E3C55">
        <w:rPr>
          <w:i/>
          <w:sz w:val="24"/>
          <w:szCs w:val="24"/>
        </w:rPr>
        <w:t xml:space="preserve"> v. Gary </w:t>
      </w:r>
      <w:proofErr w:type="spellStart"/>
      <w:r w:rsidRPr="007E3C55">
        <w:rPr>
          <w:i/>
          <w:sz w:val="24"/>
          <w:szCs w:val="24"/>
        </w:rPr>
        <w:t>Loftin</w:t>
      </w:r>
      <w:proofErr w:type="spellEnd"/>
      <w:r w:rsidRPr="007E3C55">
        <w:rPr>
          <w:i/>
          <w:sz w:val="24"/>
          <w:szCs w:val="24"/>
        </w:rPr>
        <w:t>, Unity Construction</w:t>
      </w:r>
      <w:r w:rsidR="00760980" w:rsidRPr="007E3C55">
        <w:rPr>
          <w:i/>
          <w:sz w:val="24"/>
          <w:szCs w:val="24"/>
        </w:rPr>
        <w:t>, et al</w:t>
      </w:r>
      <w:r w:rsidR="00760980">
        <w:rPr>
          <w:sz w:val="24"/>
          <w:szCs w:val="24"/>
        </w:rPr>
        <w:t xml:space="preserve">, no. 535,490 and </w:t>
      </w:r>
      <w:r w:rsidR="00760980" w:rsidRPr="007E3C55">
        <w:rPr>
          <w:i/>
          <w:sz w:val="24"/>
          <w:szCs w:val="24"/>
        </w:rPr>
        <w:t>Rickey Lee Farris, Sr. v. Melvin Ray Nelson, Sr.</w:t>
      </w:r>
      <w:r w:rsidR="00760980">
        <w:rPr>
          <w:sz w:val="24"/>
          <w:szCs w:val="24"/>
        </w:rPr>
        <w:t>, no. 540,877</w:t>
      </w:r>
      <w:r w:rsidR="00603CD4">
        <w:rPr>
          <w:sz w:val="24"/>
          <w:szCs w:val="24"/>
        </w:rPr>
        <w:t>,</w:t>
      </w:r>
      <w:r w:rsidR="00760980">
        <w:rPr>
          <w:sz w:val="24"/>
          <w:szCs w:val="24"/>
        </w:rPr>
        <w:t xml:space="preserve"> and he notes that he had to deal with “3 separate counsel”.  The Court declines to include i</w:t>
      </w:r>
      <w:r w:rsidR="00262875">
        <w:rPr>
          <w:sz w:val="24"/>
          <w:szCs w:val="24"/>
        </w:rPr>
        <w:t>n</w:t>
      </w:r>
      <w:r w:rsidR="00760980">
        <w:rPr>
          <w:sz w:val="24"/>
          <w:szCs w:val="24"/>
        </w:rPr>
        <w:t xml:space="preserve"> its assessment of </w:t>
      </w:r>
      <w:r w:rsidR="00FB1985">
        <w:rPr>
          <w:sz w:val="24"/>
          <w:szCs w:val="24"/>
        </w:rPr>
        <w:t xml:space="preserve">“reasonable </w:t>
      </w:r>
      <w:r w:rsidR="00760980">
        <w:rPr>
          <w:sz w:val="24"/>
          <w:szCs w:val="24"/>
        </w:rPr>
        <w:t>attorney fees</w:t>
      </w:r>
      <w:r w:rsidR="00FB1985">
        <w:rPr>
          <w:sz w:val="24"/>
          <w:szCs w:val="24"/>
        </w:rPr>
        <w:t>”</w:t>
      </w:r>
      <w:r w:rsidR="00760980">
        <w:rPr>
          <w:sz w:val="24"/>
          <w:szCs w:val="24"/>
        </w:rPr>
        <w:t xml:space="preserve"> </w:t>
      </w:r>
      <w:r w:rsidR="003E2E23">
        <w:rPr>
          <w:sz w:val="24"/>
          <w:szCs w:val="24"/>
        </w:rPr>
        <w:t xml:space="preserve">work performed on </w:t>
      </w:r>
      <w:r w:rsidR="00760980">
        <w:rPr>
          <w:sz w:val="24"/>
          <w:szCs w:val="24"/>
        </w:rPr>
        <w:t>the other cases, 535,490 and 540,877.  However, the Court does accept the fact that this suit has been made needlessly complex and time-consuming by the actions of Mr. Farris</w:t>
      </w:r>
      <w:r w:rsidR="003E2E23">
        <w:rPr>
          <w:rStyle w:val="FootnoteReference"/>
          <w:sz w:val="24"/>
          <w:szCs w:val="24"/>
        </w:rPr>
        <w:footnoteReference w:id="2"/>
      </w:r>
      <w:r w:rsidR="00760980">
        <w:rPr>
          <w:sz w:val="24"/>
          <w:szCs w:val="24"/>
        </w:rPr>
        <w:t xml:space="preserve">.  The Court notes the involvement of several different attorneys, Scott </w:t>
      </w:r>
      <w:proofErr w:type="spellStart"/>
      <w:r w:rsidR="00760980">
        <w:rPr>
          <w:sz w:val="24"/>
          <w:szCs w:val="24"/>
        </w:rPr>
        <w:t>Chafin</w:t>
      </w:r>
      <w:proofErr w:type="spellEnd"/>
      <w:r w:rsidR="00760980">
        <w:rPr>
          <w:sz w:val="24"/>
          <w:szCs w:val="24"/>
        </w:rPr>
        <w:t xml:space="preserve">, Charles </w:t>
      </w:r>
      <w:proofErr w:type="spellStart"/>
      <w:r w:rsidR="00760980">
        <w:rPr>
          <w:sz w:val="24"/>
          <w:szCs w:val="24"/>
        </w:rPr>
        <w:t>Neupert</w:t>
      </w:r>
      <w:proofErr w:type="spellEnd"/>
      <w:r w:rsidR="00760980">
        <w:rPr>
          <w:sz w:val="24"/>
          <w:szCs w:val="24"/>
        </w:rPr>
        <w:t xml:space="preserve"> and </w:t>
      </w:r>
      <w:proofErr w:type="spellStart"/>
      <w:r w:rsidR="00760980">
        <w:rPr>
          <w:sz w:val="24"/>
          <w:szCs w:val="24"/>
        </w:rPr>
        <w:t>Ree</w:t>
      </w:r>
      <w:proofErr w:type="spellEnd"/>
      <w:r w:rsidR="00760980">
        <w:rPr>
          <w:sz w:val="24"/>
          <w:szCs w:val="24"/>
        </w:rPr>
        <w:t xml:space="preserve"> Casey prior to the </w:t>
      </w:r>
      <w:proofErr w:type="spellStart"/>
      <w:r w:rsidR="00760980">
        <w:rPr>
          <w:sz w:val="24"/>
          <w:szCs w:val="24"/>
        </w:rPr>
        <w:t>Farrises</w:t>
      </w:r>
      <w:proofErr w:type="spellEnd"/>
      <w:r w:rsidR="00760980">
        <w:rPr>
          <w:sz w:val="24"/>
          <w:szCs w:val="24"/>
        </w:rPr>
        <w:t xml:space="preserve"> decision to self-represent and ultimately the retainer of present counsel, Don </w:t>
      </w:r>
      <w:proofErr w:type="spellStart"/>
      <w:r w:rsidR="00760980">
        <w:rPr>
          <w:sz w:val="24"/>
          <w:szCs w:val="24"/>
        </w:rPr>
        <w:t>Weathersby</w:t>
      </w:r>
      <w:proofErr w:type="spellEnd"/>
      <w:r w:rsidR="00760980">
        <w:rPr>
          <w:sz w:val="24"/>
          <w:szCs w:val="24"/>
        </w:rPr>
        <w:t>.  Based on the entire record</w:t>
      </w:r>
      <w:r w:rsidR="00FB1985">
        <w:rPr>
          <w:sz w:val="24"/>
          <w:szCs w:val="24"/>
        </w:rPr>
        <w:t xml:space="preserve">, </w:t>
      </w:r>
      <w:r w:rsidR="00760980">
        <w:rPr>
          <w:sz w:val="24"/>
          <w:szCs w:val="24"/>
        </w:rPr>
        <w:t xml:space="preserve">the circumstances </w:t>
      </w:r>
      <w:r w:rsidR="00FB1985">
        <w:rPr>
          <w:sz w:val="24"/>
          <w:szCs w:val="24"/>
        </w:rPr>
        <w:t xml:space="preserve">and guided by the term “reasonable”, as used in the contract, </w:t>
      </w:r>
      <w:r w:rsidR="00760980">
        <w:rPr>
          <w:sz w:val="24"/>
          <w:szCs w:val="24"/>
        </w:rPr>
        <w:t>the Court sets att</w:t>
      </w:r>
      <w:r w:rsidR="00603CD4">
        <w:rPr>
          <w:sz w:val="24"/>
          <w:szCs w:val="24"/>
        </w:rPr>
        <w:t>o</w:t>
      </w:r>
      <w:r w:rsidR="007E3C55">
        <w:rPr>
          <w:sz w:val="24"/>
          <w:szCs w:val="24"/>
        </w:rPr>
        <w:t>r</w:t>
      </w:r>
      <w:r w:rsidR="00603CD4">
        <w:rPr>
          <w:sz w:val="24"/>
          <w:szCs w:val="24"/>
        </w:rPr>
        <w:t xml:space="preserve">ney’s fees in the amount of </w:t>
      </w:r>
      <w:r w:rsidR="00262875">
        <w:rPr>
          <w:sz w:val="24"/>
          <w:szCs w:val="24"/>
        </w:rPr>
        <w:t xml:space="preserve">$9,540.87 (40% of $23,852.18).  </w:t>
      </w:r>
    </w:p>
    <w:p w:rsidR="00760980" w:rsidRPr="009301A4" w:rsidRDefault="00760980" w:rsidP="00262875">
      <w:pPr>
        <w:spacing w:line="480" w:lineRule="auto"/>
        <w:jc w:val="center"/>
        <w:rPr>
          <w:b/>
          <w:sz w:val="28"/>
          <w:szCs w:val="28"/>
        </w:rPr>
      </w:pPr>
      <w:r w:rsidRPr="009301A4">
        <w:rPr>
          <w:b/>
          <w:sz w:val="28"/>
          <w:szCs w:val="28"/>
        </w:rPr>
        <w:t>12% INTEREST</w:t>
      </w:r>
    </w:p>
    <w:p w:rsidR="00760980" w:rsidRDefault="00760980" w:rsidP="007E3C55">
      <w:pPr>
        <w:spacing w:line="480" w:lineRule="auto"/>
        <w:rPr>
          <w:sz w:val="24"/>
          <w:szCs w:val="24"/>
        </w:rPr>
      </w:pPr>
      <w:r>
        <w:rPr>
          <w:sz w:val="24"/>
          <w:szCs w:val="24"/>
        </w:rPr>
        <w:tab/>
        <w:t>Based on the contract, the Court determines that there should be an additional award of</w:t>
      </w:r>
      <w:r w:rsidR="00262875">
        <w:rPr>
          <w:sz w:val="24"/>
          <w:szCs w:val="24"/>
        </w:rPr>
        <w:t xml:space="preserve"> 12% on $23,852.18</w:t>
      </w:r>
      <w:r w:rsidR="007E3C55">
        <w:rPr>
          <w:sz w:val="24"/>
          <w:szCs w:val="24"/>
        </w:rPr>
        <w:t xml:space="preserve">, from the date owed, which the Court deems to be October 1, 2009, </w:t>
      </w:r>
      <w:r w:rsidR="00495FE8">
        <w:rPr>
          <w:sz w:val="24"/>
          <w:szCs w:val="24"/>
        </w:rPr>
        <w:t xml:space="preserve">the date </w:t>
      </w:r>
      <w:r w:rsidR="007E3C55">
        <w:rPr>
          <w:sz w:val="24"/>
          <w:szCs w:val="24"/>
        </w:rPr>
        <w:t xml:space="preserve">Unity completed the work and presented a final invoice to the </w:t>
      </w:r>
      <w:proofErr w:type="spellStart"/>
      <w:r w:rsidR="007E3C55">
        <w:rPr>
          <w:sz w:val="24"/>
          <w:szCs w:val="24"/>
        </w:rPr>
        <w:t>Farrises</w:t>
      </w:r>
      <w:proofErr w:type="spellEnd"/>
      <w:r w:rsidR="007E3C55">
        <w:rPr>
          <w:sz w:val="24"/>
          <w:szCs w:val="24"/>
        </w:rPr>
        <w:t>.</w:t>
      </w:r>
    </w:p>
    <w:p w:rsidR="009301A4" w:rsidRDefault="007E3C55" w:rsidP="009301A4">
      <w:pPr>
        <w:spacing w:line="480" w:lineRule="auto"/>
        <w:jc w:val="center"/>
        <w:rPr>
          <w:b/>
          <w:sz w:val="28"/>
          <w:szCs w:val="28"/>
        </w:rPr>
      </w:pPr>
      <w:r w:rsidRPr="009301A4">
        <w:rPr>
          <w:b/>
          <w:sz w:val="28"/>
          <w:szCs w:val="28"/>
        </w:rPr>
        <w:t>CONCLUSION</w:t>
      </w:r>
    </w:p>
    <w:p w:rsidR="00495FE8" w:rsidRDefault="00495FE8" w:rsidP="009301A4">
      <w:pPr>
        <w:spacing w:line="480" w:lineRule="auto"/>
        <w:rPr>
          <w:sz w:val="24"/>
          <w:szCs w:val="24"/>
        </w:rPr>
      </w:pPr>
      <w:r>
        <w:rPr>
          <w:sz w:val="24"/>
          <w:szCs w:val="24"/>
        </w:rPr>
        <w:tab/>
        <w:t>In summary, the amounts at issue are as follows:</w:t>
      </w:r>
    </w:p>
    <w:p w:rsidR="00495FE8" w:rsidRDefault="00495FE8" w:rsidP="00EA2EFE">
      <w:pPr>
        <w:spacing w:line="480" w:lineRule="auto"/>
        <w:ind w:left="720"/>
        <w:rPr>
          <w:sz w:val="24"/>
          <w:szCs w:val="24"/>
        </w:rPr>
      </w:pPr>
      <w:r>
        <w:rPr>
          <w:sz w:val="24"/>
          <w:szCs w:val="24"/>
        </w:rPr>
        <w:t>Amount sought:</w:t>
      </w:r>
      <w:r>
        <w:rPr>
          <w:sz w:val="24"/>
          <w:szCs w:val="24"/>
        </w:rPr>
        <w:tab/>
      </w:r>
      <w:r>
        <w:rPr>
          <w:sz w:val="24"/>
          <w:szCs w:val="24"/>
        </w:rPr>
        <w:tab/>
        <w:t>$35,252.18</w:t>
      </w:r>
    </w:p>
    <w:p w:rsidR="00495FE8" w:rsidRDefault="00495FE8" w:rsidP="00EA2EFE">
      <w:pPr>
        <w:spacing w:line="480" w:lineRule="auto"/>
        <w:ind w:left="720"/>
        <w:rPr>
          <w:sz w:val="24"/>
          <w:szCs w:val="24"/>
        </w:rPr>
      </w:pPr>
      <w:r>
        <w:rPr>
          <w:sz w:val="24"/>
          <w:szCs w:val="24"/>
        </w:rPr>
        <w:t>Less offset:</w:t>
      </w:r>
      <w:r>
        <w:rPr>
          <w:sz w:val="24"/>
          <w:szCs w:val="24"/>
        </w:rPr>
        <w:tab/>
      </w:r>
      <w:r>
        <w:rPr>
          <w:sz w:val="24"/>
          <w:szCs w:val="24"/>
        </w:rPr>
        <w:tab/>
        <w:t xml:space="preserve">           (</w:t>
      </w:r>
      <w:proofErr w:type="gramStart"/>
      <w:r>
        <w:rPr>
          <w:sz w:val="24"/>
          <w:szCs w:val="24"/>
        </w:rPr>
        <w:t>$  7,375.00</w:t>
      </w:r>
      <w:proofErr w:type="gramEnd"/>
      <w:r w:rsidR="009301A4">
        <w:rPr>
          <w:sz w:val="24"/>
          <w:szCs w:val="24"/>
        </w:rPr>
        <w:t>)</w:t>
      </w:r>
    </w:p>
    <w:p w:rsidR="00495FE8" w:rsidRDefault="00495FE8" w:rsidP="00EA2EFE">
      <w:pPr>
        <w:spacing w:line="480" w:lineRule="auto"/>
        <w:ind w:left="720"/>
        <w:rPr>
          <w:sz w:val="24"/>
          <w:szCs w:val="24"/>
        </w:rPr>
      </w:pPr>
      <w:r>
        <w:rPr>
          <w:sz w:val="24"/>
          <w:szCs w:val="24"/>
        </w:rPr>
        <w:t>Less offset</w:t>
      </w:r>
      <w:r w:rsidR="00262875">
        <w:rPr>
          <w:sz w:val="24"/>
          <w:szCs w:val="24"/>
        </w:rPr>
        <w:t>:</w:t>
      </w:r>
      <w:r>
        <w:rPr>
          <w:sz w:val="24"/>
          <w:szCs w:val="24"/>
        </w:rPr>
        <w:tab/>
      </w:r>
      <w:r>
        <w:rPr>
          <w:sz w:val="24"/>
          <w:szCs w:val="24"/>
        </w:rPr>
        <w:tab/>
        <w:t xml:space="preserve">           (</w:t>
      </w:r>
      <w:proofErr w:type="gramStart"/>
      <w:r w:rsidRPr="00495FE8">
        <w:rPr>
          <w:sz w:val="24"/>
          <w:szCs w:val="24"/>
          <w:u w:val="single"/>
        </w:rPr>
        <w:t>$  4,025.00</w:t>
      </w:r>
      <w:proofErr w:type="gramEnd"/>
      <w:r w:rsidR="009301A4">
        <w:rPr>
          <w:sz w:val="24"/>
          <w:szCs w:val="24"/>
          <w:u w:val="single"/>
        </w:rPr>
        <w:t>)</w:t>
      </w:r>
    </w:p>
    <w:p w:rsidR="00495FE8" w:rsidRDefault="00495FE8" w:rsidP="00EA2EFE">
      <w:pPr>
        <w:spacing w:line="480" w:lineRule="auto"/>
        <w:ind w:left="720"/>
        <w:rPr>
          <w:sz w:val="24"/>
          <w:szCs w:val="24"/>
        </w:rPr>
      </w:pPr>
      <w:r>
        <w:rPr>
          <w:sz w:val="24"/>
          <w:szCs w:val="24"/>
        </w:rPr>
        <w:t>Principal amount owed:</w:t>
      </w:r>
      <w:r>
        <w:rPr>
          <w:sz w:val="24"/>
          <w:szCs w:val="24"/>
        </w:rPr>
        <w:tab/>
        <w:t>$23,852.18</w:t>
      </w:r>
    </w:p>
    <w:p w:rsidR="00221F8F" w:rsidRDefault="00221F8F" w:rsidP="00EA2EFE">
      <w:pPr>
        <w:ind w:left="720"/>
        <w:rPr>
          <w:sz w:val="24"/>
          <w:szCs w:val="24"/>
        </w:rPr>
      </w:pPr>
      <w:r>
        <w:rPr>
          <w:sz w:val="24"/>
          <w:szCs w:val="24"/>
        </w:rPr>
        <w:t>Attorney’s fees:</w:t>
      </w:r>
      <w:r>
        <w:rPr>
          <w:sz w:val="24"/>
          <w:szCs w:val="24"/>
        </w:rPr>
        <w:tab/>
      </w:r>
      <w:r>
        <w:rPr>
          <w:sz w:val="24"/>
          <w:szCs w:val="24"/>
        </w:rPr>
        <w:tab/>
      </w:r>
      <w:proofErr w:type="gramStart"/>
      <w:r>
        <w:rPr>
          <w:sz w:val="24"/>
          <w:szCs w:val="24"/>
        </w:rPr>
        <w:t>$</w:t>
      </w:r>
      <w:r w:rsidR="00262875">
        <w:rPr>
          <w:sz w:val="24"/>
          <w:szCs w:val="24"/>
        </w:rPr>
        <w:t xml:space="preserve"> </w:t>
      </w:r>
      <w:r w:rsidR="00FB1985">
        <w:rPr>
          <w:sz w:val="24"/>
          <w:szCs w:val="24"/>
        </w:rPr>
        <w:t xml:space="preserve"> </w:t>
      </w:r>
      <w:r w:rsidR="00262875">
        <w:rPr>
          <w:sz w:val="24"/>
          <w:szCs w:val="24"/>
        </w:rPr>
        <w:t>9</w:t>
      </w:r>
      <w:r>
        <w:rPr>
          <w:sz w:val="24"/>
          <w:szCs w:val="24"/>
        </w:rPr>
        <w:t>,</w:t>
      </w:r>
      <w:r w:rsidR="00262875">
        <w:rPr>
          <w:sz w:val="24"/>
          <w:szCs w:val="24"/>
        </w:rPr>
        <w:t>540.87</w:t>
      </w:r>
      <w:proofErr w:type="gramEnd"/>
    </w:p>
    <w:p w:rsidR="00221F8F" w:rsidRDefault="00262875" w:rsidP="00EA2EFE">
      <w:pPr>
        <w:ind w:left="720"/>
        <w:rPr>
          <w:sz w:val="24"/>
          <w:szCs w:val="24"/>
        </w:rPr>
      </w:pPr>
      <w:r>
        <w:rPr>
          <w:sz w:val="24"/>
          <w:szCs w:val="24"/>
        </w:rPr>
        <w:t>(40</w:t>
      </w:r>
      <w:r w:rsidR="00221F8F">
        <w:rPr>
          <w:sz w:val="24"/>
          <w:szCs w:val="24"/>
        </w:rPr>
        <w:t>% of $23,852.18)</w:t>
      </w:r>
    </w:p>
    <w:p w:rsidR="00221F8F" w:rsidRDefault="00221F8F" w:rsidP="00EA2EFE">
      <w:pPr>
        <w:ind w:left="720"/>
        <w:rPr>
          <w:sz w:val="24"/>
          <w:szCs w:val="24"/>
        </w:rPr>
      </w:pPr>
    </w:p>
    <w:p w:rsidR="00760980" w:rsidRDefault="00495FE8" w:rsidP="00760980">
      <w:pPr>
        <w:spacing w:line="480" w:lineRule="auto"/>
        <w:rPr>
          <w:sz w:val="24"/>
          <w:szCs w:val="24"/>
        </w:rPr>
      </w:pPr>
      <w:r>
        <w:rPr>
          <w:sz w:val="24"/>
          <w:szCs w:val="24"/>
        </w:rPr>
        <w:t>Thus</w:t>
      </w:r>
      <w:r w:rsidR="00262875">
        <w:rPr>
          <w:sz w:val="24"/>
          <w:szCs w:val="24"/>
        </w:rPr>
        <w:t>,</w:t>
      </w:r>
      <w:r>
        <w:rPr>
          <w:sz w:val="24"/>
          <w:szCs w:val="24"/>
        </w:rPr>
        <w:t xml:space="preserve"> for </w:t>
      </w:r>
      <w:r w:rsidR="007E3C55">
        <w:rPr>
          <w:sz w:val="24"/>
          <w:szCs w:val="24"/>
        </w:rPr>
        <w:t xml:space="preserve">the assigned reasons there will be judgment in favor of Unity and against </w:t>
      </w:r>
      <w:r w:rsidR="00262875">
        <w:rPr>
          <w:sz w:val="24"/>
          <w:szCs w:val="24"/>
        </w:rPr>
        <w:t xml:space="preserve">Rickey Lee Farris and Tracy Yvette Hardman Farris </w:t>
      </w:r>
      <w:r w:rsidR="007E3C55">
        <w:rPr>
          <w:sz w:val="24"/>
          <w:szCs w:val="24"/>
        </w:rPr>
        <w:t>in the amount of $</w:t>
      </w:r>
      <w:r w:rsidR="00262875">
        <w:rPr>
          <w:sz w:val="24"/>
          <w:szCs w:val="24"/>
        </w:rPr>
        <w:t xml:space="preserve">23,852.18 </w:t>
      </w:r>
      <w:r w:rsidR="007E3C55">
        <w:rPr>
          <w:sz w:val="24"/>
          <w:szCs w:val="24"/>
        </w:rPr>
        <w:t xml:space="preserve">at 12% from October 1, 2009 until paid.  In addition, there will be judgment in favor of Unity and against the </w:t>
      </w:r>
      <w:proofErr w:type="spellStart"/>
      <w:r w:rsidR="007E3C55">
        <w:rPr>
          <w:sz w:val="24"/>
          <w:szCs w:val="24"/>
        </w:rPr>
        <w:t>Farrises</w:t>
      </w:r>
      <w:proofErr w:type="spellEnd"/>
      <w:r w:rsidR="007E3C55">
        <w:rPr>
          <w:sz w:val="24"/>
          <w:szCs w:val="24"/>
        </w:rPr>
        <w:t xml:space="preserve"> in </w:t>
      </w:r>
      <w:r w:rsidR="007E3C55">
        <w:rPr>
          <w:sz w:val="24"/>
          <w:szCs w:val="24"/>
        </w:rPr>
        <w:lastRenderedPageBreak/>
        <w:t>the amount of $</w:t>
      </w:r>
      <w:r w:rsidR="00262875">
        <w:rPr>
          <w:sz w:val="24"/>
          <w:szCs w:val="24"/>
        </w:rPr>
        <w:t>9,540.87</w:t>
      </w:r>
      <w:r w:rsidR="00221F8F">
        <w:rPr>
          <w:sz w:val="24"/>
          <w:szCs w:val="24"/>
        </w:rPr>
        <w:t>, representing attorney’s fees,</w:t>
      </w:r>
      <w:r w:rsidR="007E3C55">
        <w:rPr>
          <w:sz w:val="24"/>
          <w:szCs w:val="24"/>
        </w:rPr>
        <w:t xml:space="preserve"> at 12% from date of rendition of formal Judgment until paid.  All court costs are assessed against the </w:t>
      </w:r>
      <w:proofErr w:type="spellStart"/>
      <w:r w:rsidR="007E3C55">
        <w:rPr>
          <w:sz w:val="24"/>
          <w:szCs w:val="24"/>
        </w:rPr>
        <w:t>Farrises</w:t>
      </w:r>
      <w:proofErr w:type="spellEnd"/>
      <w:r w:rsidR="007E3C55">
        <w:rPr>
          <w:sz w:val="24"/>
          <w:szCs w:val="24"/>
        </w:rPr>
        <w:t>.</w:t>
      </w:r>
    </w:p>
    <w:p w:rsidR="00262875" w:rsidRDefault="00FB1985" w:rsidP="00760980">
      <w:pPr>
        <w:spacing w:line="480" w:lineRule="auto"/>
        <w:rPr>
          <w:sz w:val="24"/>
          <w:szCs w:val="24"/>
        </w:rPr>
      </w:pPr>
      <w:r>
        <w:rPr>
          <w:sz w:val="24"/>
          <w:szCs w:val="24"/>
        </w:rPr>
        <w:tab/>
        <w:t>In the event of any calculation issues (or any other issues) counsel shall request a conference with the Court.</w:t>
      </w:r>
    </w:p>
    <w:p w:rsidR="008E6005" w:rsidRDefault="008E6005" w:rsidP="008E6005">
      <w:pPr>
        <w:spacing w:line="480" w:lineRule="auto"/>
        <w:rPr>
          <w:sz w:val="24"/>
          <w:szCs w:val="24"/>
        </w:rPr>
      </w:pPr>
      <w:r>
        <w:rPr>
          <w:sz w:val="24"/>
          <w:szCs w:val="24"/>
        </w:rPr>
        <w:tab/>
        <w:t>Counsel shall submit a formal Judgment in accordance with La. Dist. Ct.</w:t>
      </w:r>
      <w:r w:rsidR="00495FE8">
        <w:rPr>
          <w:sz w:val="24"/>
          <w:szCs w:val="24"/>
        </w:rPr>
        <w:t xml:space="preserve"> </w:t>
      </w:r>
      <w:r>
        <w:rPr>
          <w:sz w:val="24"/>
          <w:szCs w:val="24"/>
        </w:rPr>
        <w:t>R.</w:t>
      </w:r>
      <w:r w:rsidR="00495FE8">
        <w:rPr>
          <w:sz w:val="24"/>
          <w:szCs w:val="24"/>
        </w:rPr>
        <w:t xml:space="preserve"> </w:t>
      </w:r>
      <w:r>
        <w:rPr>
          <w:sz w:val="24"/>
          <w:szCs w:val="24"/>
        </w:rPr>
        <w:t>9.5.</w:t>
      </w:r>
    </w:p>
    <w:p w:rsidR="008E6005" w:rsidRDefault="008E6005" w:rsidP="008E6005">
      <w:pPr>
        <w:spacing w:line="480" w:lineRule="auto"/>
        <w:rPr>
          <w:sz w:val="24"/>
          <w:szCs w:val="24"/>
        </w:rPr>
      </w:pPr>
      <w:r>
        <w:rPr>
          <w:sz w:val="24"/>
          <w:szCs w:val="24"/>
        </w:rPr>
        <w:tab/>
        <w:t xml:space="preserve">Signed this </w:t>
      </w:r>
      <w:r w:rsidR="00495FE8">
        <w:rPr>
          <w:sz w:val="24"/>
          <w:szCs w:val="24"/>
        </w:rPr>
        <w:t>11</w:t>
      </w:r>
      <w:r w:rsidR="00495FE8" w:rsidRPr="00495FE8">
        <w:rPr>
          <w:sz w:val="24"/>
          <w:szCs w:val="24"/>
          <w:vertAlign w:val="superscript"/>
        </w:rPr>
        <w:t>th</w:t>
      </w:r>
      <w:r w:rsidR="00495FE8">
        <w:rPr>
          <w:sz w:val="24"/>
          <w:szCs w:val="24"/>
        </w:rPr>
        <w:t xml:space="preserve"> </w:t>
      </w:r>
      <w:r>
        <w:rPr>
          <w:sz w:val="24"/>
          <w:szCs w:val="24"/>
        </w:rPr>
        <w:t xml:space="preserve">day of February, 2011 in Shreveport, Caddo Parish, </w:t>
      </w:r>
      <w:proofErr w:type="gramStart"/>
      <w:r>
        <w:rPr>
          <w:sz w:val="24"/>
          <w:szCs w:val="24"/>
        </w:rPr>
        <w:t>Louisiana</w:t>
      </w:r>
      <w:proofErr w:type="gramEnd"/>
      <w:r>
        <w:rPr>
          <w:sz w:val="24"/>
          <w:szCs w:val="24"/>
        </w:rPr>
        <w:t>.</w:t>
      </w:r>
    </w:p>
    <w:p w:rsidR="009301A4" w:rsidRDefault="009301A4" w:rsidP="008E6005">
      <w:pPr>
        <w:rPr>
          <w:sz w:val="24"/>
          <w:szCs w:val="24"/>
        </w:rPr>
      </w:pPr>
    </w:p>
    <w:p w:rsidR="008E6005" w:rsidRDefault="008E6005" w:rsidP="008E600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8E6005" w:rsidRDefault="00382E75" w:rsidP="008E6005">
      <w:pPr>
        <w:rPr>
          <w:sz w:val="24"/>
          <w:szCs w:val="24"/>
        </w:rPr>
      </w:pPr>
      <w:r>
        <w:rPr>
          <w:sz w:val="24"/>
          <w:szCs w:val="24"/>
        </w:rPr>
        <w:tab/>
      </w:r>
      <w:r w:rsidR="008E6005">
        <w:rPr>
          <w:sz w:val="24"/>
          <w:szCs w:val="24"/>
        </w:rPr>
        <w:tab/>
      </w:r>
      <w:r w:rsidR="008E6005">
        <w:rPr>
          <w:sz w:val="24"/>
          <w:szCs w:val="24"/>
        </w:rPr>
        <w:tab/>
      </w:r>
      <w:r w:rsidR="008E6005">
        <w:rPr>
          <w:sz w:val="24"/>
          <w:szCs w:val="24"/>
        </w:rPr>
        <w:tab/>
      </w:r>
      <w:r w:rsidR="008E6005">
        <w:rPr>
          <w:sz w:val="24"/>
          <w:szCs w:val="24"/>
        </w:rPr>
        <w:tab/>
      </w:r>
      <w:r w:rsidR="008E6005">
        <w:rPr>
          <w:sz w:val="24"/>
          <w:szCs w:val="24"/>
        </w:rPr>
        <w:tab/>
      </w:r>
      <w:r w:rsidR="008E6005">
        <w:rPr>
          <w:sz w:val="24"/>
          <w:szCs w:val="24"/>
        </w:rPr>
        <w:tab/>
      </w:r>
      <w:r w:rsidR="008E6005">
        <w:rPr>
          <w:sz w:val="24"/>
          <w:szCs w:val="24"/>
        </w:rPr>
        <w:tab/>
        <w:t>SCOTT J. CRICHTON</w:t>
      </w:r>
    </w:p>
    <w:p w:rsidR="008E6005" w:rsidRDefault="008E6005" w:rsidP="008E600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DISTRICT JUDGE</w:t>
      </w:r>
    </w:p>
    <w:p w:rsidR="00382E75" w:rsidRDefault="00382E75" w:rsidP="008E6005">
      <w:pPr>
        <w:rPr>
          <w:sz w:val="24"/>
          <w:szCs w:val="24"/>
          <w:u w:val="single"/>
        </w:rPr>
      </w:pPr>
    </w:p>
    <w:p w:rsidR="00221F8F" w:rsidRDefault="00221F8F" w:rsidP="008E6005">
      <w:pPr>
        <w:rPr>
          <w:sz w:val="24"/>
          <w:szCs w:val="24"/>
          <w:u w:val="single"/>
        </w:rPr>
      </w:pPr>
    </w:p>
    <w:p w:rsidR="00382E75" w:rsidRDefault="008E6005" w:rsidP="008E6005">
      <w:pPr>
        <w:rPr>
          <w:sz w:val="24"/>
          <w:szCs w:val="24"/>
        </w:rPr>
      </w:pPr>
      <w:r>
        <w:rPr>
          <w:sz w:val="24"/>
          <w:szCs w:val="24"/>
          <w:u w:val="single"/>
        </w:rPr>
        <w:t>DISTRIBUTION</w:t>
      </w:r>
      <w:r>
        <w:rPr>
          <w:sz w:val="24"/>
          <w:szCs w:val="24"/>
        </w:rPr>
        <w:t>:</w:t>
      </w:r>
    </w:p>
    <w:p w:rsidR="00382E75" w:rsidRDefault="00382E75" w:rsidP="008E6005">
      <w:pPr>
        <w:rPr>
          <w:sz w:val="24"/>
          <w:szCs w:val="24"/>
        </w:rPr>
      </w:pPr>
    </w:p>
    <w:p w:rsidR="008E6005" w:rsidRDefault="00221F8F" w:rsidP="008E6005">
      <w:pPr>
        <w:rPr>
          <w:sz w:val="24"/>
          <w:szCs w:val="24"/>
        </w:rPr>
      </w:pPr>
      <w:r>
        <w:rPr>
          <w:sz w:val="24"/>
          <w:szCs w:val="24"/>
        </w:rPr>
        <w:t xml:space="preserve">Donald A. </w:t>
      </w:r>
      <w:proofErr w:type="spellStart"/>
      <w:r>
        <w:rPr>
          <w:sz w:val="24"/>
          <w:szCs w:val="24"/>
        </w:rPr>
        <w:t>W</w:t>
      </w:r>
      <w:r w:rsidR="008E6005">
        <w:rPr>
          <w:sz w:val="24"/>
          <w:szCs w:val="24"/>
        </w:rPr>
        <w:t>eathersby</w:t>
      </w:r>
      <w:proofErr w:type="spellEnd"/>
      <w:r w:rsidR="008E6005">
        <w:rPr>
          <w:sz w:val="24"/>
          <w:szCs w:val="24"/>
        </w:rPr>
        <w:t>, II, Counsel for Rickey Farris and Tracy Yvette Hardman Farris</w:t>
      </w:r>
    </w:p>
    <w:p w:rsidR="008E6005" w:rsidRDefault="008E6005" w:rsidP="008E6005">
      <w:pPr>
        <w:rPr>
          <w:sz w:val="24"/>
          <w:szCs w:val="24"/>
        </w:rPr>
      </w:pPr>
      <w:r>
        <w:rPr>
          <w:sz w:val="24"/>
          <w:szCs w:val="24"/>
        </w:rPr>
        <w:t>Jeff R. Thompson, Counsel for Unity Construction and Remodeling, Inc.</w:t>
      </w:r>
    </w:p>
    <w:p w:rsidR="008E6005" w:rsidRPr="008E6005" w:rsidRDefault="008E6005" w:rsidP="008E6005">
      <w:pPr>
        <w:rPr>
          <w:b/>
          <w:sz w:val="24"/>
          <w:szCs w:val="24"/>
        </w:rPr>
      </w:pPr>
      <w:r>
        <w:rPr>
          <w:sz w:val="24"/>
          <w:szCs w:val="24"/>
        </w:rPr>
        <w:t>Richard Ray, Counsel for Unity Const</w:t>
      </w:r>
      <w:bookmarkStart w:id="0" w:name="_GoBack"/>
      <w:bookmarkEnd w:id="0"/>
      <w:r>
        <w:rPr>
          <w:sz w:val="24"/>
          <w:szCs w:val="24"/>
        </w:rPr>
        <w:t>ruction and Remodeling, Inc.</w:t>
      </w:r>
    </w:p>
    <w:sectPr w:rsidR="008E6005" w:rsidRPr="008E6005" w:rsidSect="00262875">
      <w:footerReference w:type="default" r:id="rId9"/>
      <w:pgSz w:w="12240" w:h="20160" w:code="5"/>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331" w:rsidRDefault="004F2331" w:rsidP="003E2E23">
      <w:r>
        <w:separator/>
      </w:r>
    </w:p>
  </w:endnote>
  <w:endnote w:type="continuationSeparator" w:id="0">
    <w:p w:rsidR="004F2331" w:rsidRDefault="004F2331" w:rsidP="003E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78328"/>
      <w:docPartObj>
        <w:docPartGallery w:val="Page Numbers (Bottom of Page)"/>
        <w:docPartUnique/>
      </w:docPartObj>
    </w:sdtPr>
    <w:sdtEndPr>
      <w:rPr>
        <w:noProof/>
      </w:rPr>
    </w:sdtEndPr>
    <w:sdtContent>
      <w:p w:rsidR="00382E75" w:rsidRDefault="00382E75">
        <w:pPr>
          <w:pStyle w:val="Footer"/>
          <w:jc w:val="center"/>
        </w:pPr>
        <w:r>
          <w:fldChar w:fldCharType="begin"/>
        </w:r>
        <w:r>
          <w:instrText xml:space="preserve"> PAGE   \* MERGEFORMAT </w:instrText>
        </w:r>
        <w:r>
          <w:fldChar w:fldCharType="separate"/>
        </w:r>
        <w:r w:rsidR="00FB1985">
          <w:rPr>
            <w:noProof/>
          </w:rPr>
          <w:t>6</w:t>
        </w:r>
        <w:r>
          <w:rPr>
            <w:noProof/>
          </w:rPr>
          <w:fldChar w:fldCharType="end"/>
        </w:r>
      </w:p>
    </w:sdtContent>
  </w:sdt>
  <w:p w:rsidR="00382E75" w:rsidRDefault="00382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331" w:rsidRDefault="004F2331" w:rsidP="003E2E23">
      <w:r>
        <w:separator/>
      </w:r>
    </w:p>
  </w:footnote>
  <w:footnote w:type="continuationSeparator" w:id="0">
    <w:p w:rsidR="004F2331" w:rsidRDefault="004F2331" w:rsidP="003E2E23">
      <w:r>
        <w:continuationSeparator/>
      </w:r>
    </w:p>
  </w:footnote>
  <w:footnote w:id="1">
    <w:p w:rsidR="00FB1985" w:rsidRDefault="00FB1985" w:rsidP="00FB1985">
      <w:pPr>
        <w:pStyle w:val="FootnoteText"/>
      </w:pPr>
      <w:r>
        <w:rPr>
          <w:rStyle w:val="FootnoteReference"/>
        </w:rPr>
        <w:footnoteRef/>
      </w:r>
      <w:r>
        <w:t xml:space="preserve"> </w:t>
      </w:r>
      <w:r>
        <w:t>Unity has argued that it is entitled to an award of $55,863.45</w:t>
      </w:r>
      <w:r>
        <w:tab/>
        <w:t xml:space="preserve">while counsel for the </w:t>
      </w:r>
      <w:proofErr w:type="spellStart"/>
      <w:r>
        <w:t>Farrises</w:t>
      </w:r>
      <w:proofErr w:type="spellEnd"/>
      <w:r>
        <w:t xml:space="preserve"> has argued that the amount of overpayment by them to Unity is $15,878.16.</w:t>
      </w:r>
    </w:p>
    <w:p w:rsidR="00FB1985" w:rsidRDefault="00FB1985">
      <w:pPr>
        <w:pStyle w:val="FootnoteText"/>
      </w:pPr>
    </w:p>
  </w:footnote>
  <w:footnote w:id="2">
    <w:p w:rsidR="003E2E23" w:rsidRDefault="003E2E23">
      <w:pPr>
        <w:pStyle w:val="FootnoteText"/>
      </w:pPr>
      <w:r>
        <w:rPr>
          <w:rStyle w:val="FootnoteReference"/>
        </w:rPr>
        <w:footnoteRef/>
      </w:r>
      <w:r>
        <w:t xml:space="preserve"> The Court recognizes that Rickey Lee Farris is a </w:t>
      </w:r>
      <w:r w:rsidR="00495FE8">
        <w:t xml:space="preserve">captain and </w:t>
      </w:r>
      <w:r>
        <w:t>respected member of the Caddo Parish Sheriff’s Office.</w:t>
      </w:r>
      <w:r w:rsidR="00FB1985">
        <w:t xml:space="preserve">  He is a defendant in this case and has prevailed on two points; however, he has fired off a meritless </w:t>
      </w:r>
      <w:proofErr w:type="spellStart"/>
      <w:r w:rsidR="00FB1985">
        <w:t>reconventional</w:t>
      </w:r>
      <w:proofErr w:type="spellEnd"/>
      <w:r w:rsidR="00FB1985">
        <w:t xml:space="preserve"> demand and third party demand as well as filing suit in two other related matters.</w:t>
      </w:r>
      <w:r>
        <w:t xml:space="preserve">  The Court is a bit bewildered by the number of lawsuits </w:t>
      </w:r>
      <w:r w:rsidR="00382E75">
        <w:t xml:space="preserve">emanating from the construction work at 5642 Cashmere Circle </w:t>
      </w:r>
      <w:r w:rsidR="00221F8F">
        <w:t xml:space="preserve">as sell as </w:t>
      </w:r>
      <w:r w:rsidR="00382E75">
        <w:t>and the number of lawyers enrolled</w:t>
      </w:r>
      <w:r w:rsidR="00262875">
        <w:t xml:space="preserve"> on his behalf</w:t>
      </w:r>
      <w:r w:rsidR="00382E75">
        <w:t>, and later withdrawn</w:t>
      </w:r>
      <w:r w:rsidR="00262875">
        <w:t xml:space="preserve">.  </w:t>
      </w:r>
      <w:r w:rsidR="00FB1985">
        <w:t xml:space="preserve">The combination of </w:t>
      </w:r>
      <w:r w:rsidR="00262875">
        <w:t>m</w:t>
      </w:r>
      <w:r w:rsidR="00221F8F">
        <w:t xml:space="preserve">ultiple lawsuits </w:t>
      </w:r>
      <w:r w:rsidR="00262875">
        <w:t xml:space="preserve">with </w:t>
      </w:r>
      <w:r w:rsidR="00221F8F">
        <w:t xml:space="preserve">multiple lawyers </w:t>
      </w:r>
      <w:r w:rsidR="00262875">
        <w:t xml:space="preserve">sometimes </w:t>
      </w:r>
      <w:r w:rsidR="00221F8F">
        <w:t>suggests a problem.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054B"/>
    <w:multiLevelType w:val="hybridMultilevel"/>
    <w:tmpl w:val="80D03024"/>
    <w:lvl w:ilvl="0" w:tplc="A51A8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6FC69D6"/>
    <w:multiLevelType w:val="hybridMultilevel"/>
    <w:tmpl w:val="255C9796"/>
    <w:lvl w:ilvl="0" w:tplc="0C70A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E990696"/>
    <w:multiLevelType w:val="hybridMultilevel"/>
    <w:tmpl w:val="B55AED52"/>
    <w:lvl w:ilvl="0" w:tplc="539A967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84"/>
    <w:rsid w:val="00036919"/>
    <w:rsid w:val="001B0B32"/>
    <w:rsid w:val="00221F8F"/>
    <w:rsid w:val="00262875"/>
    <w:rsid w:val="00382E75"/>
    <w:rsid w:val="003C77D9"/>
    <w:rsid w:val="003E2E23"/>
    <w:rsid w:val="00422988"/>
    <w:rsid w:val="00474E8B"/>
    <w:rsid w:val="00495FE8"/>
    <w:rsid w:val="004F2331"/>
    <w:rsid w:val="005250E0"/>
    <w:rsid w:val="00561A15"/>
    <w:rsid w:val="00603CD4"/>
    <w:rsid w:val="0061614A"/>
    <w:rsid w:val="00760980"/>
    <w:rsid w:val="007A5F7F"/>
    <w:rsid w:val="007E3C55"/>
    <w:rsid w:val="008B0EFC"/>
    <w:rsid w:val="008E6005"/>
    <w:rsid w:val="008F70A8"/>
    <w:rsid w:val="009301A4"/>
    <w:rsid w:val="00A5003B"/>
    <w:rsid w:val="00AA2D4F"/>
    <w:rsid w:val="00BA5884"/>
    <w:rsid w:val="00BD5C39"/>
    <w:rsid w:val="00C207C8"/>
    <w:rsid w:val="00CE1833"/>
    <w:rsid w:val="00D615B2"/>
    <w:rsid w:val="00D67832"/>
    <w:rsid w:val="00D72B14"/>
    <w:rsid w:val="00DE03D2"/>
    <w:rsid w:val="00EA2EFE"/>
    <w:rsid w:val="00FA58B6"/>
    <w:rsid w:val="00FB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884"/>
    <w:pPr>
      <w:ind w:left="720"/>
      <w:contextualSpacing/>
    </w:pPr>
  </w:style>
  <w:style w:type="paragraph" w:styleId="BalloonText">
    <w:name w:val="Balloon Text"/>
    <w:basedOn w:val="Normal"/>
    <w:link w:val="BalloonTextChar"/>
    <w:uiPriority w:val="99"/>
    <w:semiHidden/>
    <w:unhideWhenUsed/>
    <w:rsid w:val="00561A15"/>
    <w:rPr>
      <w:rFonts w:ascii="Tahoma" w:hAnsi="Tahoma" w:cs="Tahoma"/>
      <w:sz w:val="16"/>
      <w:szCs w:val="16"/>
    </w:rPr>
  </w:style>
  <w:style w:type="character" w:customStyle="1" w:styleId="BalloonTextChar">
    <w:name w:val="Balloon Text Char"/>
    <w:basedOn w:val="DefaultParagraphFont"/>
    <w:link w:val="BalloonText"/>
    <w:uiPriority w:val="99"/>
    <w:semiHidden/>
    <w:rsid w:val="00561A15"/>
    <w:rPr>
      <w:rFonts w:ascii="Tahoma" w:hAnsi="Tahoma" w:cs="Tahoma"/>
      <w:b w:val="0"/>
      <w:sz w:val="16"/>
      <w:szCs w:val="16"/>
    </w:rPr>
  </w:style>
  <w:style w:type="paragraph" w:styleId="FootnoteText">
    <w:name w:val="footnote text"/>
    <w:basedOn w:val="Normal"/>
    <w:link w:val="FootnoteTextChar"/>
    <w:uiPriority w:val="99"/>
    <w:semiHidden/>
    <w:unhideWhenUsed/>
    <w:rsid w:val="003E2E23"/>
  </w:style>
  <w:style w:type="character" w:customStyle="1" w:styleId="FootnoteTextChar">
    <w:name w:val="Footnote Text Char"/>
    <w:basedOn w:val="DefaultParagraphFont"/>
    <w:link w:val="FootnoteText"/>
    <w:uiPriority w:val="99"/>
    <w:semiHidden/>
    <w:rsid w:val="003E2E23"/>
    <w:rPr>
      <w:rFonts w:ascii="Times New Roman" w:hAnsi="Times New Roman" w:cs="Times New Roman"/>
      <w:b w:val="0"/>
      <w:sz w:val="20"/>
    </w:rPr>
  </w:style>
  <w:style w:type="character" w:styleId="FootnoteReference">
    <w:name w:val="footnote reference"/>
    <w:basedOn w:val="DefaultParagraphFont"/>
    <w:uiPriority w:val="99"/>
    <w:semiHidden/>
    <w:unhideWhenUsed/>
    <w:rsid w:val="003E2E23"/>
    <w:rPr>
      <w:vertAlign w:val="superscript"/>
    </w:rPr>
  </w:style>
  <w:style w:type="paragraph" w:styleId="Header">
    <w:name w:val="header"/>
    <w:basedOn w:val="Normal"/>
    <w:link w:val="HeaderChar"/>
    <w:uiPriority w:val="99"/>
    <w:unhideWhenUsed/>
    <w:rsid w:val="00382E75"/>
    <w:pPr>
      <w:tabs>
        <w:tab w:val="center" w:pos="4680"/>
        <w:tab w:val="right" w:pos="9360"/>
      </w:tabs>
    </w:pPr>
  </w:style>
  <w:style w:type="character" w:customStyle="1" w:styleId="HeaderChar">
    <w:name w:val="Header Char"/>
    <w:basedOn w:val="DefaultParagraphFont"/>
    <w:link w:val="Header"/>
    <w:uiPriority w:val="99"/>
    <w:rsid w:val="00382E75"/>
    <w:rPr>
      <w:rFonts w:ascii="Times New Roman" w:hAnsi="Times New Roman" w:cs="Times New Roman"/>
      <w:b w:val="0"/>
      <w:sz w:val="20"/>
    </w:rPr>
  </w:style>
  <w:style w:type="paragraph" w:styleId="Footer">
    <w:name w:val="footer"/>
    <w:basedOn w:val="Normal"/>
    <w:link w:val="FooterChar"/>
    <w:uiPriority w:val="99"/>
    <w:unhideWhenUsed/>
    <w:rsid w:val="00382E75"/>
    <w:pPr>
      <w:tabs>
        <w:tab w:val="center" w:pos="4680"/>
        <w:tab w:val="right" w:pos="9360"/>
      </w:tabs>
    </w:pPr>
  </w:style>
  <w:style w:type="character" w:customStyle="1" w:styleId="FooterChar">
    <w:name w:val="Footer Char"/>
    <w:basedOn w:val="DefaultParagraphFont"/>
    <w:link w:val="Footer"/>
    <w:uiPriority w:val="99"/>
    <w:rsid w:val="00382E75"/>
    <w:rPr>
      <w:rFonts w:ascii="Times New Roman" w:hAnsi="Times New Roman" w:cs="Times New Roman"/>
      <w:b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884"/>
    <w:pPr>
      <w:ind w:left="720"/>
      <w:contextualSpacing/>
    </w:pPr>
  </w:style>
  <w:style w:type="paragraph" w:styleId="BalloonText">
    <w:name w:val="Balloon Text"/>
    <w:basedOn w:val="Normal"/>
    <w:link w:val="BalloonTextChar"/>
    <w:uiPriority w:val="99"/>
    <w:semiHidden/>
    <w:unhideWhenUsed/>
    <w:rsid w:val="00561A15"/>
    <w:rPr>
      <w:rFonts w:ascii="Tahoma" w:hAnsi="Tahoma" w:cs="Tahoma"/>
      <w:sz w:val="16"/>
      <w:szCs w:val="16"/>
    </w:rPr>
  </w:style>
  <w:style w:type="character" w:customStyle="1" w:styleId="BalloonTextChar">
    <w:name w:val="Balloon Text Char"/>
    <w:basedOn w:val="DefaultParagraphFont"/>
    <w:link w:val="BalloonText"/>
    <w:uiPriority w:val="99"/>
    <w:semiHidden/>
    <w:rsid w:val="00561A15"/>
    <w:rPr>
      <w:rFonts w:ascii="Tahoma" w:hAnsi="Tahoma" w:cs="Tahoma"/>
      <w:b w:val="0"/>
      <w:sz w:val="16"/>
      <w:szCs w:val="16"/>
    </w:rPr>
  </w:style>
  <w:style w:type="paragraph" w:styleId="FootnoteText">
    <w:name w:val="footnote text"/>
    <w:basedOn w:val="Normal"/>
    <w:link w:val="FootnoteTextChar"/>
    <w:uiPriority w:val="99"/>
    <w:semiHidden/>
    <w:unhideWhenUsed/>
    <w:rsid w:val="003E2E23"/>
  </w:style>
  <w:style w:type="character" w:customStyle="1" w:styleId="FootnoteTextChar">
    <w:name w:val="Footnote Text Char"/>
    <w:basedOn w:val="DefaultParagraphFont"/>
    <w:link w:val="FootnoteText"/>
    <w:uiPriority w:val="99"/>
    <w:semiHidden/>
    <w:rsid w:val="003E2E23"/>
    <w:rPr>
      <w:rFonts w:ascii="Times New Roman" w:hAnsi="Times New Roman" w:cs="Times New Roman"/>
      <w:b w:val="0"/>
      <w:sz w:val="20"/>
    </w:rPr>
  </w:style>
  <w:style w:type="character" w:styleId="FootnoteReference">
    <w:name w:val="footnote reference"/>
    <w:basedOn w:val="DefaultParagraphFont"/>
    <w:uiPriority w:val="99"/>
    <w:semiHidden/>
    <w:unhideWhenUsed/>
    <w:rsid w:val="003E2E23"/>
    <w:rPr>
      <w:vertAlign w:val="superscript"/>
    </w:rPr>
  </w:style>
  <w:style w:type="paragraph" w:styleId="Header">
    <w:name w:val="header"/>
    <w:basedOn w:val="Normal"/>
    <w:link w:val="HeaderChar"/>
    <w:uiPriority w:val="99"/>
    <w:unhideWhenUsed/>
    <w:rsid w:val="00382E75"/>
    <w:pPr>
      <w:tabs>
        <w:tab w:val="center" w:pos="4680"/>
        <w:tab w:val="right" w:pos="9360"/>
      </w:tabs>
    </w:pPr>
  </w:style>
  <w:style w:type="character" w:customStyle="1" w:styleId="HeaderChar">
    <w:name w:val="Header Char"/>
    <w:basedOn w:val="DefaultParagraphFont"/>
    <w:link w:val="Header"/>
    <w:uiPriority w:val="99"/>
    <w:rsid w:val="00382E75"/>
    <w:rPr>
      <w:rFonts w:ascii="Times New Roman" w:hAnsi="Times New Roman" w:cs="Times New Roman"/>
      <w:b w:val="0"/>
      <w:sz w:val="20"/>
    </w:rPr>
  </w:style>
  <w:style w:type="paragraph" w:styleId="Footer">
    <w:name w:val="footer"/>
    <w:basedOn w:val="Normal"/>
    <w:link w:val="FooterChar"/>
    <w:uiPriority w:val="99"/>
    <w:unhideWhenUsed/>
    <w:rsid w:val="00382E75"/>
    <w:pPr>
      <w:tabs>
        <w:tab w:val="center" w:pos="4680"/>
        <w:tab w:val="right" w:pos="9360"/>
      </w:tabs>
    </w:pPr>
  </w:style>
  <w:style w:type="character" w:customStyle="1" w:styleId="FooterChar">
    <w:name w:val="Footer Char"/>
    <w:basedOn w:val="DefaultParagraphFont"/>
    <w:link w:val="Footer"/>
    <w:uiPriority w:val="99"/>
    <w:rsid w:val="00382E75"/>
    <w:rPr>
      <w:rFonts w:ascii="Times New Roman" w:hAnsi="Times New Roman" w:cs="Times New Roman"/>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3BEE6-1D49-4069-9C10-8213428B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16</cp:revision>
  <cp:lastPrinted>2011-02-11T19:50:00Z</cp:lastPrinted>
  <dcterms:created xsi:type="dcterms:W3CDTF">2011-01-31T19:50:00Z</dcterms:created>
  <dcterms:modified xsi:type="dcterms:W3CDTF">2011-02-11T19:51:00Z</dcterms:modified>
</cp:coreProperties>
</file>