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8D2" w:rsidRDefault="002628D2" w:rsidP="002628D2">
      <w:pPr>
        <w:rPr>
          <w:sz w:val="24"/>
          <w:szCs w:val="24"/>
        </w:rPr>
      </w:pPr>
      <w:proofErr w:type="gramStart"/>
      <w:r>
        <w:rPr>
          <w:sz w:val="24"/>
          <w:szCs w:val="24"/>
        </w:rPr>
        <w:t>MUSLOW OIL AND GAS, INC.</w:t>
      </w:r>
      <w:proofErr w:type="gramEnd"/>
      <w:r>
        <w:rPr>
          <w:sz w:val="24"/>
          <w:szCs w:val="24"/>
        </w:rPr>
        <w:tab/>
      </w:r>
      <w:r>
        <w:rPr>
          <w:sz w:val="24"/>
          <w:szCs w:val="24"/>
        </w:rPr>
        <w:tab/>
      </w:r>
      <w:r>
        <w:rPr>
          <w:sz w:val="24"/>
          <w:szCs w:val="24"/>
        </w:rPr>
        <w:tab/>
        <w:t>:  NUMBER:  500,133</w:t>
      </w:r>
    </w:p>
    <w:p w:rsidR="002628D2" w:rsidRDefault="002628D2" w:rsidP="002628D2">
      <w:pPr>
        <w:rPr>
          <w:sz w:val="24"/>
          <w:szCs w:val="24"/>
        </w:rPr>
      </w:pPr>
    </w:p>
    <w:p w:rsidR="002628D2" w:rsidRDefault="002628D2" w:rsidP="002628D2">
      <w:pPr>
        <w:rPr>
          <w:sz w:val="24"/>
          <w:szCs w:val="24"/>
        </w:rPr>
      </w:pPr>
      <w:r>
        <w:rPr>
          <w:sz w:val="24"/>
          <w:szCs w:val="24"/>
        </w:rPr>
        <w:t>VERSUS</w:t>
      </w:r>
      <w:r>
        <w:rPr>
          <w:sz w:val="24"/>
          <w:szCs w:val="24"/>
        </w:rPr>
        <w:tab/>
      </w:r>
      <w:r>
        <w:rPr>
          <w:sz w:val="24"/>
          <w:szCs w:val="24"/>
        </w:rPr>
        <w:tab/>
      </w:r>
      <w:r>
        <w:rPr>
          <w:sz w:val="24"/>
          <w:szCs w:val="24"/>
        </w:rPr>
        <w:tab/>
      </w:r>
      <w:r>
        <w:rPr>
          <w:sz w:val="24"/>
          <w:szCs w:val="24"/>
        </w:rPr>
        <w:tab/>
      </w:r>
      <w:r>
        <w:rPr>
          <w:sz w:val="24"/>
          <w:szCs w:val="24"/>
        </w:rPr>
        <w:tab/>
      </w:r>
      <w:r>
        <w:rPr>
          <w:sz w:val="24"/>
          <w:szCs w:val="24"/>
        </w:rPr>
        <w:tab/>
        <w:t>:  FIRST JUDICIAL DISTRICT COURT</w:t>
      </w:r>
    </w:p>
    <w:p w:rsidR="002628D2" w:rsidRDefault="002628D2" w:rsidP="002628D2">
      <w:pPr>
        <w:rPr>
          <w:sz w:val="24"/>
          <w:szCs w:val="24"/>
        </w:rPr>
      </w:pPr>
    </w:p>
    <w:p w:rsidR="002628D2" w:rsidRDefault="002628D2" w:rsidP="002628D2">
      <w:pPr>
        <w:rPr>
          <w:sz w:val="24"/>
          <w:szCs w:val="24"/>
        </w:rPr>
      </w:pPr>
      <w:r>
        <w:rPr>
          <w:sz w:val="24"/>
          <w:szCs w:val="24"/>
        </w:rPr>
        <w:t>BIRD, INC., CERTAINTEED</w:t>
      </w:r>
    </w:p>
    <w:p w:rsidR="002628D2" w:rsidRDefault="002628D2" w:rsidP="002628D2">
      <w:pPr>
        <w:rPr>
          <w:sz w:val="24"/>
          <w:szCs w:val="24"/>
        </w:rPr>
      </w:pPr>
      <w:r>
        <w:rPr>
          <w:sz w:val="24"/>
          <w:szCs w:val="24"/>
        </w:rPr>
        <w:t>CORPORATION, GS ROOFING</w:t>
      </w:r>
    </w:p>
    <w:p w:rsidR="002628D2" w:rsidRDefault="002628D2" w:rsidP="002628D2">
      <w:pPr>
        <w:rPr>
          <w:sz w:val="24"/>
          <w:szCs w:val="24"/>
        </w:rPr>
      </w:pPr>
      <w:r>
        <w:rPr>
          <w:sz w:val="24"/>
          <w:szCs w:val="24"/>
        </w:rPr>
        <w:t>PRODUCTS COMPANY, INC.,</w:t>
      </w:r>
    </w:p>
    <w:p w:rsidR="002628D2" w:rsidRDefault="002628D2" w:rsidP="002628D2">
      <w:pPr>
        <w:rPr>
          <w:sz w:val="24"/>
          <w:szCs w:val="24"/>
        </w:rPr>
      </w:pPr>
      <w:r>
        <w:rPr>
          <w:sz w:val="24"/>
          <w:szCs w:val="24"/>
        </w:rPr>
        <w:t>SAINT GOBAIN CORPORATION</w:t>
      </w:r>
      <w:r w:rsidR="00CC6F6A">
        <w:rPr>
          <w:sz w:val="24"/>
          <w:szCs w:val="24"/>
        </w:rPr>
        <w:t>,</w:t>
      </w:r>
      <w:r>
        <w:rPr>
          <w:sz w:val="24"/>
          <w:szCs w:val="24"/>
        </w:rPr>
        <w:tab/>
      </w:r>
    </w:p>
    <w:p w:rsidR="004C493E" w:rsidRDefault="00CC6F6A" w:rsidP="002628D2">
      <w:pPr>
        <w:rPr>
          <w:sz w:val="24"/>
          <w:szCs w:val="24"/>
        </w:rPr>
      </w:pPr>
      <w:r>
        <w:rPr>
          <w:sz w:val="24"/>
          <w:szCs w:val="24"/>
        </w:rPr>
        <w:t>ROASLIE MANUEL AND JOHN COLVIN</w:t>
      </w:r>
      <w:r>
        <w:rPr>
          <w:sz w:val="24"/>
          <w:szCs w:val="24"/>
        </w:rPr>
        <w:tab/>
      </w:r>
      <w:r>
        <w:rPr>
          <w:sz w:val="24"/>
          <w:szCs w:val="24"/>
        </w:rPr>
        <w:tab/>
      </w:r>
      <w:r w:rsidR="002628D2">
        <w:rPr>
          <w:sz w:val="24"/>
          <w:szCs w:val="24"/>
        </w:rPr>
        <w:t>:  CADDO PARISH, LOUISIANA</w:t>
      </w:r>
    </w:p>
    <w:p w:rsidR="002628D2" w:rsidRDefault="002628D2" w:rsidP="002628D2">
      <w:pPr>
        <w:rPr>
          <w:sz w:val="24"/>
          <w:szCs w:val="24"/>
        </w:rPr>
      </w:pPr>
    </w:p>
    <w:p w:rsidR="004C493E" w:rsidRDefault="004C493E" w:rsidP="004C493E">
      <w:pPr>
        <w:jc w:val="center"/>
        <w:rPr>
          <w:b/>
          <w:sz w:val="28"/>
          <w:szCs w:val="28"/>
          <w:u w:val="single"/>
        </w:rPr>
      </w:pPr>
      <w:r>
        <w:rPr>
          <w:b/>
          <w:sz w:val="28"/>
          <w:szCs w:val="28"/>
          <w:u w:val="single"/>
        </w:rPr>
        <w:t xml:space="preserve">REASONS FOR JUDGMENT ON </w:t>
      </w:r>
    </w:p>
    <w:p w:rsidR="00BD5913" w:rsidRDefault="004C493E" w:rsidP="00BD5913">
      <w:pPr>
        <w:jc w:val="center"/>
        <w:rPr>
          <w:b/>
          <w:sz w:val="28"/>
          <w:szCs w:val="28"/>
          <w:u w:val="single"/>
        </w:rPr>
      </w:pPr>
      <w:r>
        <w:rPr>
          <w:b/>
          <w:sz w:val="28"/>
          <w:szCs w:val="28"/>
          <w:u w:val="single"/>
        </w:rPr>
        <w:t>MOTION</w:t>
      </w:r>
      <w:r w:rsidR="00E7719F">
        <w:rPr>
          <w:b/>
          <w:sz w:val="28"/>
          <w:szCs w:val="28"/>
          <w:u w:val="single"/>
        </w:rPr>
        <w:t>S</w:t>
      </w:r>
      <w:r>
        <w:rPr>
          <w:b/>
          <w:sz w:val="28"/>
          <w:szCs w:val="28"/>
          <w:u w:val="single"/>
        </w:rPr>
        <w:t xml:space="preserve"> FOR SUMMARY JUDGMENT </w:t>
      </w:r>
    </w:p>
    <w:p w:rsidR="004C493E" w:rsidRPr="00A47E69" w:rsidRDefault="004C493E" w:rsidP="004C493E">
      <w:pPr>
        <w:jc w:val="center"/>
        <w:rPr>
          <w:b/>
          <w:sz w:val="28"/>
          <w:szCs w:val="28"/>
          <w:u w:val="single"/>
        </w:rPr>
      </w:pPr>
    </w:p>
    <w:p w:rsidR="004C493E" w:rsidRDefault="004C493E" w:rsidP="004C493E">
      <w:pPr>
        <w:spacing w:line="480" w:lineRule="auto"/>
        <w:rPr>
          <w:sz w:val="24"/>
          <w:szCs w:val="24"/>
        </w:rPr>
      </w:pPr>
      <w:r>
        <w:rPr>
          <w:sz w:val="24"/>
          <w:szCs w:val="24"/>
        </w:rPr>
        <w:tab/>
      </w:r>
      <w:r w:rsidR="005C79A9">
        <w:rPr>
          <w:sz w:val="24"/>
          <w:szCs w:val="24"/>
        </w:rPr>
        <w:t>The Court has thoroughly considered the</w:t>
      </w:r>
      <w:r w:rsidR="00826C63">
        <w:rPr>
          <w:sz w:val="24"/>
          <w:szCs w:val="24"/>
        </w:rPr>
        <w:t xml:space="preserve"> </w:t>
      </w:r>
      <w:r w:rsidR="00BD0165">
        <w:rPr>
          <w:sz w:val="24"/>
          <w:szCs w:val="24"/>
        </w:rPr>
        <w:t xml:space="preserve">Motion for Summary Judgment </w:t>
      </w:r>
      <w:r w:rsidR="007653AA">
        <w:rPr>
          <w:sz w:val="24"/>
          <w:szCs w:val="24"/>
        </w:rPr>
        <w:t>filed by Bird, Inc.</w:t>
      </w:r>
      <w:r w:rsidR="001D701B">
        <w:rPr>
          <w:sz w:val="24"/>
          <w:szCs w:val="24"/>
        </w:rPr>
        <w:t xml:space="preserve">, </w:t>
      </w:r>
      <w:proofErr w:type="spellStart"/>
      <w:r w:rsidR="001D701B">
        <w:rPr>
          <w:sz w:val="24"/>
          <w:szCs w:val="24"/>
        </w:rPr>
        <w:t>Certaineed</w:t>
      </w:r>
      <w:proofErr w:type="spellEnd"/>
      <w:r w:rsidR="001D701B">
        <w:rPr>
          <w:sz w:val="24"/>
          <w:szCs w:val="24"/>
        </w:rPr>
        <w:t xml:space="preserve"> Corporation, GS Roofing Company, Inc., and Saint </w:t>
      </w:r>
      <w:proofErr w:type="spellStart"/>
      <w:r w:rsidR="001D701B">
        <w:rPr>
          <w:sz w:val="24"/>
          <w:szCs w:val="24"/>
        </w:rPr>
        <w:t>Gobain</w:t>
      </w:r>
      <w:proofErr w:type="spellEnd"/>
      <w:r w:rsidR="001D701B">
        <w:rPr>
          <w:sz w:val="24"/>
          <w:szCs w:val="24"/>
        </w:rPr>
        <w:t xml:space="preserve"> Corporation</w:t>
      </w:r>
      <w:r w:rsidR="007653AA">
        <w:rPr>
          <w:sz w:val="24"/>
          <w:szCs w:val="24"/>
        </w:rPr>
        <w:t xml:space="preserve"> (“Bird”) on January 7, 2011; the Motion for Summary Judgment filed by Rosalie Manuel</w:t>
      </w:r>
      <w:r w:rsidR="00C6680F">
        <w:rPr>
          <w:sz w:val="24"/>
          <w:szCs w:val="24"/>
        </w:rPr>
        <w:t xml:space="preserve"> (“Manuel”)</w:t>
      </w:r>
      <w:r w:rsidR="007653AA">
        <w:rPr>
          <w:sz w:val="24"/>
          <w:szCs w:val="24"/>
        </w:rPr>
        <w:t xml:space="preserve"> on January 18, 2011; </w:t>
      </w:r>
      <w:r w:rsidR="00C6680F">
        <w:rPr>
          <w:sz w:val="24"/>
          <w:szCs w:val="24"/>
        </w:rPr>
        <w:t xml:space="preserve">the </w:t>
      </w:r>
      <w:r w:rsidR="001353FE">
        <w:rPr>
          <w:sz w:val="24"/>
          <w:szCs w:val="24"/>
        </w:rPr>
        <w:t>o</w:t>
      </w:r>
      <w:r w:rsidR="00C6680F">
        <w:rPr>
          <w:sz w:val="24"/>
          <w:szCs w:val="24"/>
        </w:rPr>
        <w:t>pposition</w:t>
      </w:r>
      <w:r w:rsidR="001353FE">
        <w:rPr>
          <w:sz w:val="24"/>
          <w:szCs w:val="24"/>
        </w:rPr>
        <w:t>s</w:t>
      </w:r>
      <w:r w:rsidR="00C6680F">
        <w:rPr>
          <w:sz w:val="24"/>
          <w:szCs w:val="24"/>
        </w:rPr>
        <w:t xml:space="preserve"> filed by </w:t>
      </w:r>
      <w:proofErr w:type="spellStart"/>
      <w:r w:rsidR="00C6680F">
        <w:rPr>
          <w:sz w:val="24"/>
          <w:szCs w:val="24"/>
        </w:rPr>
        <w:t>Muslow</w:t>
      </w:r>
      <w:proofErr w:type="spellEnd"/>
      <w:r w:rsidR="00C6680F">
        <w:rPr>
          <w:sz w:val="24"/>
          <w:szCs w:val="24"/>
        </w:rPr>
        <w:t xml:space="preserve"> Oil and Gas, Inc. (“</w:t>
      </w:r>
      <w:proofErr w:type="spellStart"/>
      <w:r w:rsidR="00C6680F">
        <w:rPr>
          <w:sz w:val="24"/>
          <w:szCs w:val="24"/>
        </w:rPr>
        <w:t>Muslow</w:t>
      </w:r>
      <w:proofErr w:type="spellEnd"/>
      <w:r w:rsidR="00C6680F">
        <w:rPr>
          <w:sz w:val="24"/>
          <w:szCs w:val="24"/>
        </w:rPr>
        <w:t>”) and Louisiana Department of Transportation and Development (“DOTD”) on April 1, 2011; the Reply Memorandum filed by Bird on April 7, 2011</w:t>
      </w:r>
      <w:r w:rsidR="005C79A9">
        <w:rPr>
          <w:sz w:val="24"/>
          <w:szCs w:val="24"/>
        </w:rPr>
        <w:t xml:space="preserve">; oral arguments of counsel held </w:t>
      </w:r>
      <w:r w:rsidR="00E7719F">
        <w:rPr>
          <w:sz w:val="24"/>
          <w:szCs w:val="24"/>
        </w:rPr>
        <w:t>April 11</w:t>
      </w:r>
      <w:r w:rsidR="005C79A9">
        <w:rPr>
          <w:sz w:val="24"/>
          <w:szCs w:val="24"/>
        </w:rPr>
        <w:t>, 2011 and applicable law</w:t>
      </w:r>
      <w:r>
        <w:rPr>
          <w:sz w:val="24"/>
          <w:szCs w:val="24"/>
        </w:rPr>
        <w:t>.  For reasons which follow, this Court concludes that the Motion</w:t>
      </w:r>
      <w:r w:rsidR="000F3845">
        <w:rPr>
          <w:sz w:val="24"/>
          <w:szCs w:val="24"/>
        </w:rPr>
        <w:t>s</w:t>
      </w:r>
      <w:r>
        <w:rPr>
          <w:sz w:val="24"/>
          <w:szCs w:val="24"/>
        </w:rPr>
        <w:t xml:space="preserve"> for Summary Judgment should be </w:t>
      </w:r>
      <w:r w:rsidR="00E7719F">
        <w:rPr>
          <w:sz w:val="24"/>
          <w:szCs w:val="24"/>
        </w:rPr>
        <w:t>denied</w:t>
      </w:r>
      <w:r>
        <w:rPr>
          <w:sz w:val="24"/>
          <w:szCs w:val="24"/>
        </w:rPr>
        <w:t xml:space="preserve">. </w:t>
      </w:r>
    </w:p>
    <w:p w:rsidR="00AF4F92" w:rsidRDefault="006A078D" w:rsidP="00AF4F92">
      <w:pPr>
        <w:spacing w:line="480" w:lineRule="auto"/>
        <w:ind w:firstLine="720"/>
        <w:rPr>
          <w:rStyle w:val="apple-style-span"/>
          <w:color w:val="000000"/>
          <w:sz w:val="24"/>
          <w:szCs w:val="24"/>
        </w:rPr>
      </w:pPr>
      <w:r>
        <w:rPr>
          <w:rStyle w:val="apple-style-span"/>
          <w:color w:val="000000"/>
          <w:sz w:val="24"/>
          <w:szCs w:val="24"/>
        </w:rPr>
        <w:t>“</w:t>
      </w:r>
      <w:proofErr w:type="spellStart"/>
      <w:r>
        <w:rPr>
          <w:rStyle w:val="apple-style-span"/>
          <w:color w:val="000000"/>
          <w:sz w:val="24"/>
          <w:szCs w:val="24"/>
        </w:rPr>
        <w:t>Delictual</w:t>
      </w:r>
      <w:proofErr w:type="spellEnd"/>
      <w:r>
        <w:rPr>
          <w:rStyle w:val="apple-style-span"/>
          <w:color w:val="000000"/>
          <w:sz w:val="24"/>
          <w:szCs w:val="24"/>
        </w:rPr>
        <w:t xml:space="preserve"> actions are subject to a </w:t>
      </w:r>
      <w:proofErr w:type="spellStart"/>
      <w:r>
        <w:rPr>
          <w:rStyle w:val="apple-style-span"/>
          <w:color w:val="000000"/>
          <w:sz w:val="24"/>
          <w:szCs w:val="24"/>
        </w:rPr>
        <w:t>liberative</w:t>
      </w:r>
      <w:proofErr w:type="spellEnd"/>
      <w:r>
        <w:rPr>
          <w:rStyle w:val="apple-style-span"/>
          <w:color w:val="000000"/>
          <w:sz w:val="24"/>
          <w:szCs w:val="24"/>
        </w:rPr>
        <w:t xml:space="preserve"> prescription of one year.”  </w:t>
      </w:r>
      <w:proofErr w:type="gramStart"/>
      <w:r>
        <w:rPr>
          <w:rStyle w:val="apple-style-span"/>
          <w:color w:val="000000"/>
          <w:sz w:val="24"/>
          <w:szCs w:val="24"/>
        </w:rPr>
        <w:t>La. C.C. art.</w:t>
      </w:r>
      <w:proofErr w:type="gramEnd"/>
      <w:r>
        <w:rPr>
          <w:rStyle w:val="apple-style-span"/>
          <w:color w:val="000000"/>
          <w:sz w:val="24"/>
          <w:szCs w:val="24"/>
        </w:rPr>
        <w:t xml:space="preserve"> 3492.  This prescriptive period commences when the owner of an immovable “acquired, or should have acquired, knowledge of the damage.”  </w:t>
      </w:r>
      <w:proofErr w:type="gramStart"/>
      <w:r>
        <w:rPr>
          <w:rStyle w:val="apple-style-span"/>
          <w:color w:val="000000"/>
          <w:sz w:val="24"/>
          <w:szCs w:val="24"/>
        </w:rPr>
        <w:t>La. C.C. art.</w:t>
      </w:r>
      <w:proofErr w:type="gramEnd"/>
      <w:r>
        <w:rPr>
          <w:rStyle w:val="apple-style-span"/>
          <w:color w:val="000000"/>
          <w:sz w:val="24"/>
          <w:szCs w:val="24"/>
        </w:rPr>
        <w:t xml:space="preserve"> 3493.  </w:t>
      </w:r>
      <w:r w:rsidR="00AF4F92">
        <w:rPr>
          <w:rStyle w:val="apple-style-span"/>
          <w:color w:val="000000"/>
          <w:sz w:val="24"/>
          <w:szCs w:val="24"/>
        </w:rPr>
        <w:t xml:space="preserve">Prescription may be suspended by the jurisprudential doctrine of contra non valentem.  There are four situations in which contra non valentem may prevent the running of prescription: (1) a legal cause prevented the filing of suit, (2) some condition coupled with the proceeding that prevented the filing of suit, (3) the defendant committed some act to prevent filing of suit, and (4) the cause of action was not discovered by the plaintiff.  </w:t>
      </w:r>
      <w:proofErr w:type="gramStart"/>
      <w:r w:rsidR="00AF4F92">
        <w:rPr>
          <w:rStyle w:val="apple-style-span"/>
          <w:i/>
          <w:color w:val="000000"/>
          <w:sz w:val="24"/>
          <w:szCs w:val="24"/>
        </w:rPr>
        <w:t>Marin v. Exxon Mobil</w:t>
      </w:r>
      <w:r w:rsidR="00AF4F92">
        <w:rPr>
          <w:rStyle w:val="apple-style-span"/>
          <w:color w:val="000000"/>
          <w:sz w:val="24"/>
          <w:szCs w:val="24"/>
        </w:rPr>
        <w:t xml:space="preserve">, </w:t>
      </w:r>
      <w:r w:rsidR="00E45088">
        <w:rPr>
          <w:rStyle w:val="apple-style-span"/>
          <w:color w:val="000000"/>
          <w:sz w:val="24"/>
          <w:szCs w:val="24"/>
        </w:rPr>
        <w:t xml:space="preserve">2009-2368, p. </w:t>
      </w:r>
      <w:r w:rsidR="00AF4F92">
        <w:rPr>
          <w:rStyle w:val="apple-style-span"/>
          <w:color w:val="000000"/>
          <w:sz w:val="24"/>
          <w:szCs w:val="24"/>
        </w:rPr>
        <w:t>6 (La. 10/19/10)</w:t>
      </w:r>
      <w:r w:rsidR="00E45088">
        <w:rPr>
          <w:rStyle w:val="apple-style-span"/>
          <w:color w:val="000000"/>
          <w:sz w:val="24"/>
          <w:szCs w:val="24"/>
        </w:rPr>
        <w:t>; 48 So.3d 234, 245</w:t>
      </w:r>
      <w:r w:rsidR="00AF4F92" w:rsidRPr="004F7807">
        <w:rPr>
          <w:rStyle w:val="apple-style-span"/>
          <w:color w:val="000000"/>
          <w:sz w:val="24"/>
          <w:szCs w:val="24"/>
        </w:rPr>
        <w:t>.</w:t>
      </w:r>
      <w:proofErr w:type="gramEnd"/>
      <w:r>
        <w:rPr>
          <w:rStyle w:val="apple-style-span"/>
          <w:color w:val="000000"/>
          <w:sz w:val="24"/>
          <w:szCs w:val="24"/>
        </w:rPr>
        <w:t xml:space="preserve">  </w:t>
      </w:r>
      <w:r w:rsidR="00142E91">
        <w:rPr>
          <w:rStyle w:val="apple-style-span"/>
          <w:color w:val="000000"/>
          <w:sz w:val="24"/>
          <w:szCs w:val="24"/>
        </w:rPr>
        <w:t xml:space="preserve">Prescription may also be suspended if the </w:t>
      </w:r>
      <w:proofErr w:type="spellStart"/>
      <w:r w:rsidR="00142E91">
        <w:rPr>
          <w:rStyle w:val="apple-style-span"/>
          <w:color w:val="000000"/>
          <w:sz w:val="24"/>
          <w:szCs w:val="24"/>
        </w:rPr>
        <w:t>delictual</w:t>
      </w:r>
      <w:proofErr w:type="spellEnd"/>
      <w:r w:rsidR="00142E91">
        <w:rPr>
          <w:rStyle w:val="apple-style-span"/>
          <w:color w:val="000000"/>
          <w:sz w:val="24"/>
          <w:szCs w:val="24"/>
        </w:rPr>
        <w:t xml:space="preserve"> action complained of constitutes a continuing trespass or continuing tort.  </w:t>
      </w:r>
      <w:proofErr w:type="gramStart"/>
      <w:r w:rsidR="00142E91">
        <w:rPr>
          <w:rStyle w:val="apple-style-span"/>
          <w:i/>
          <w:color w:val="000000"/>
          <w:sz w:val="24"/>
          <w:szCs w:val="24"/>
        </w:rPr>
        <w:t>South Central Bell Telephone Company v. Texaco, Inc.</w:t>
      </w:r>
      <w:r w:rsidR="00142E91">
        <w:rPr>
          <w:rStyle w:val="apple-style-span"/>
          <w:color w:val="000000"/>
          <w:sz w:val="24"/>
          <w:szCs w:val="24"/>
        </w:rPr>
        <w:t>, 81-3285 (La. 6/21/82); 418 So.2d 531.</w:t>
      </w:r>
      <w:proofErr w:type="gramEnd"/>
    </w:p>
    <w:p w:rsidR="002D746B" w:rsidRDefault="002D746B" w:rsidP="00AF4F92">
      <w:pPr>
        <w:spacing w:line="480" w:lineRule="auto"/>
        <w:ind w:firstLine="720"/>
        <w:rPr>
          <w:rStyle w:val="apple-style-span"/>
          <w:color w:val="000000"/>
          <w:sz w:val="24"/>
          <w:szCs w:val="24"/>
        </w:rPr>
      </w:pPr>
    </w:p>
    <w:p w:rsidR="002D746B" w:rsidRDefault="002D746B" w:rsidP="00AF4F92">
      <w:pPr>
        <w:spacing w:line="480" w:lineRule="auto"/>
        <w:ind w:firstLine="720"/>
        <w:rPr>
          <w:rStyle w:val="apple-style-span"/>
          <w:color w:val="000000"/>
          <w:sz w:val="24"/>
          <w:szCs w:val="24"/>
        </w:rPr>
      </w:pPr>
    </w:p>
    <w:p w:rsidR="002D746B" w:rsidRDefault="002D746B" w:rsidP="00AF4F92">
      <w:pPr>
        <w:spacing w:line="480" w:lineRule="auto"/>
        <w:ind w:firstLine="720"/>
        <w:rPr>
          <w:rStyle w:val="apple-style-span"/>
          <w:color w:val="000000"/>
          <w:sz w:val="24"/>
          <w:szCs w:val="24"/>
        </w:rPr>
      </w:pPr>
    </w:p>
    <w:p w:rsidR="00BF6944" w:rsidRDefault="002D746B" w:rsidP="00B40401">
      <w:pPr>
        <w:pStyle w:val="ListParagraph"/>
        <w:numPr>
          <w:ilvl w:val="0"/>
          <w:numId w:val="1"/>
        </w:numPr>
        <w:spacing w:line="480" w:lineRule="auto"/>
        <w:rPr>
          <w:sz w:val="24"/>
          <w:szCs w:val="24"/>
        </w:rPr>
      </w:pPr>
      <w:r>
        <w:rPr>
          <w:sz w:val="24"/>
          <w:szCs w:val="24"/>
        </w:rPr>
        <w:lastRenderedPageBreak/>
        <w:t>A</w:t>
      </w:r>
      <w:r w:rsidR="00B40401">
        <w:rPr>
          <w:sz w:val="24"/>
          <w:szCs w:val="24"/>
        </w:rPr>
        <w:t xml:space="preserve">ctual or Constructive Knowledge of </w:t>
      </w:r>
      <w:proofErr w:type="spellStart"/>
      <w:r w:rsidR="00B40401">
        <w:rPr>
          <w:sz w:val="24"/>
          <w:szCs w:val="24"/>
        </w:rPr>
        <w:t>Muslow</w:t>
      </w:r>
      <w:proofErr w:type="spellEnd"/>
    </w:p>
    <w:p w:rsidR="008A514A" w:rsidRPr="00DB4CAA" w:rsidRDefault="00860DDD" w:rsidP="008A514A">
      <w:pPr>
        <w:spacing w:line="480" w:lineRule="auto"/>
        <w:ind w:firstLine="720"/>
        <w:rPr>
          <w:rStyle w:val="apple-style-span"/>
          <w:color w:val="000000"/>
          <w:sz w:val="24"/>
          <w:szCs w:val="24"/>
        </w:rPr>
      </w:pPr>
      <w:proofErr w:type="gramStart"/>
      <w:r>
        <w:rPr>
          <w:rStyle w:val="apple-style-span"/>
          <w:color w:val="000000"/>
          <w:sz w:val="24"/>
          <w:szCs w:val="24"/>
        </w:rPr>
        <w:t>The ‘discovery rule’, encompassed by La. C.C. art.</w:t>
      </w:r>
      <w:proofErr w:type="gramEnd"/>
      <w:r>
        <w:rPr>
          <w:rStyle w:val="apple-style-span"/>
          <w:color w:val="000000"/>
          <w:sz w:val="24"/>
          <w:szCs w:val="24"/>
        </w:rPr>
        <w:t xml:space="preserve"> 3493 and the fourth category of contra non valentem, suspends prescription until t</w:t>
      </w:r>
      <w:r w:rsidR="006A2599">
        <w:rPr>
          <w:rStyle w:val="apple-style-span"/>
          <w:color w:val="000000"/>
          <w:sz w:val="24"/>
          <w:szCs w:val="24"/>
        </w:rPr>
        <w:t>he plaintiff knew, or reasonably</w:t>
      </w:r>
      <w:r>
        <w:rPr>
          <w:rStyle w:val="apple-style-span"/>
          <w:color w:val="000000"/>
          <w:sz w:val="24"/>
          <w:szCs w:val="24"/>
        </w:rPr>
        <w:t xml:space="preserve"> should have known of the damage.  </w:t>
      </w:r>
      <w:proofErr w:type="gramStart"/>
      <w:r w:rsidR="005036B3">
        <w:rPr>
          <w:rStyle w:val="apple-style-span"/>
          <w:i/>
          <w:color w:val="000000"/>
          <w:sz w:val="24"/>
          <w:szCs w:val="24"/>
        </w:rPr>
        <w:t>Marin</w:t>
      </w:r>
      <w:r w:rsidR="00150E0F">
        <w:rPr>
          <w:rStyle w:val="apple-style-span"/>
          <w:i/>
          <w:color w:val="000000"/>
          <w:sz w:val="24"/>
          <w:szCs w:val="24"/>
        </w:rPr>
        <w:t xml:space="preserve">, supra </w:t>
      </w:r>
      <w:r w:rsidR="00150E0F" w:rsidRPr="00150E0F">
        <w:rPr>
          <w:rStyle w:val="apple-style-span"/>
          <w:color w:val="000000"/>
          <w:sz w:val="24"/>
          <w:szCs w:val="24"/>
        </w:rPr>
        <w:t>at</w:t>
      </w:r>
      <w:r w:rsidR="00150E0F">
        <w:rPr>
          <w:rStyle w:val="apple-style-span"/>
          <w:i/>
          <w:color w:val="000000"/>
          <w:sz w:val="24"/>
          <w:szCs w:val="24"/>
        </w:rPr>
        <w:t xml:space="preserve"> </w:t>
      </w:r>
      <w:r w:rsidR="005036B3">
        <w:rPr>
          <w:rStyle w:val="apple-style-span"/>
          <w:color w:val="000000"/>
          <w:sz w:val="24"/>
          <w:szCs w:val="24"/>
        </w:rPr>
        <w:t>245</w:t>
      </w:r>
      <w:r w:rsidR="005036B3" w:rsidRPr="004F7807">
        <w:rPr>
          <w:rStyle w:val="apple-style-span"/>
          <w:color w:val="000000"/>
          <w:sz w:val="24"/>
          <w:szCs w:val="24"/>
        </w:rPr>
        <w:t>.</w:t>
      </w:r>
      <w:proofErr w:type="gramEnd"/>
      <w:r w:rsidR="00976F85">
        <w:rPr>
          <w:rStyle w:val="apple-style-span"/>
          <w:color w:val="000000"/>
          <w:sz w:val="24"/>
          <w:szCs w:val="24"/>
        </w:rPr>
        <w:t xml:space="preserve">  </w:t>
      </w:r>
      <w:r w:rsidR="000057F8">
        <w:rPr>
          <w:rStyle w:val="apple-style-span"/>
          <w:color w:val="000000"/>
          <w:sz w:val="24"/>
          <w:szCs w:val="24"/>
        </w:rPr>
        <w:t xml:space="preserve">Regarding property damage claims, such as those made here, knowledge sufficient to commence the running of prescription is information “which, if pursued, will lead to the true condition of things.”  </w:t>
      </w:r>
      <w:proofErr w:type="gramStart"/>
      <w:r w:rsidR="000057F8">
        <w:rPr>
          <w:rStyle w:val="apple-style-span"/>
          <w:i/>
          <w:color w:val="000000"/>
          <w:sz w:val="24"/>
          <w:szCs w:val="24"/>
        </w:rPr>
        <w:t xml:space="preserve">Marin, supra </w:t>
      </w:r>
      <w:r w:rsidR="000057F8">
        <w:rPr>
          <w:rStyle w:val="apple-style-span"/>
          <w:color w:val="000000"/>
          <w:sz w:val="24"/>
          <w:szCs w:val="24"/>
        </w:rPr>
        <w:t>at 246.</w:t>
      </w:r>
      <w:proofErr w:type="gramEnd"/>
      <w:r w:rsidR="000057F8">
        <w:rPr>
          <w:rStyle w:val="apple-style-span"/>
          <w:color w:val="000000"/>
          <w:sz w:val="24"/>
          <w:szCs w:val="24"/>
        </w:rPr>
        <w:t xml:space="preserve">  Further, </w:t>
      </w:r>
      <w:r w:rsidR="00E42ED3">
        <w:rPr>
          <w:rStyle w:val="apple-style-span"/>
          <w:color w:val="000000"/>
          <w:sz w:val="24"/>
          <w:szCs w:val="24"/>
        </w:rPr>
        <w:t>“</w:t>
      </w:r>
      <w:r w:rsidR="000057F8">
        <w:rPr>
          <w:rStyle w:val="apple-style-span"/>
          <w:color w:val="000000"/>
          <w:sz w:val="24"/>
          <w:szCs w:val="24"/>
        </w:rPr>
        <w:t>a</w:t>
      </w:r>
      <w:r w:rsidR="00E42ED3">
        <w:rPr>
          <w:rStyle w:val="apple-style-span"/>
          <w:color w:val="000000"/>
          <w:sz w:val="24"/>
          <w:szCs w:val="24"/>
        </w:rPr>
        <w:t xml:space="preserve"> plaintiff will be deemed to know what he could by reasonable diligence have learned.”  </w:t>
      </w:r>
      <w:r w:rsidR="000057F8">
        <w:rPr>
          <w:rStyle w:val="apple-style-span"/>
          <w:i/>
          <w:color w:val="000000"/>
          <w:sz w:val="24"/>
          <w:szCs w:val="24"/>
        </w:rPr>
        <w:t>Id</w:t>
      </w:r>
      <w:r w:rsidR="00E42ED3">
        <w:rPr>
          <w:rStyle w:val="apple-style-span"/>
          <w:color w:val="000000"/>
          <w:sz w:val="24"/>
          <w:szCs w:val="24"/>
        </w:rPr>
        <w:t>.</w:t>
      </w:r>
      <w:r w:rsidR="008A514A">
        <w:rPr>
          <w:rStyle w:val="apple-style-span"/>
          <w:color w:val="000000"/>
          <w:sz w:val="24"/>
          <w:szCs w:val="24"/>
        </w:rPr>
        <w:t xml:space="preserve">  </w:t>
      </w:r>
      <w:r w:rsidR="00DB4CAA">
        <w:rPr>
          <w:rStyle w:val="apple-style-span"/>
          <w:color w:val="000000"/>
          <w:sz w:val="24"/>
          <w:szCs w:val="24"/>
        </w:rPr>
        <w:t xml:space="preserve">The reasonableness of the plaintiff’s action or inaction must be determined “in light of his education, intelligence and the nature of the defendant’s conduct.”  </w:t>
      </w:r>
      <w:r w:rsidR="00DB4CAA">
        <w:rPr>
          <w:rStyle w:val="apple-style-span"/>
          <w:i/>
          <w:color w:val="000000"/>
          <w:sz w:val="24"/>
          <w:szCs w:val="24"/>
        </w:rPr>
        <w:t>Id.</w:t>
      </w:r>
    </w:p>
    <w:p w:rsidR="00B56136" w:rsidRDefault="00B56136" w:rsidP="000F10FB">
      <w:pPr>
        <w:spacing w:line="480" w:lineRule="auto"/>
        <w:ind w:firstLine="720"/>
        <w:rPr>
          <w:rStyle w:val="apple-style-span"/>
          <w:color w:val="000000"/>
          <w:sz w:val="24"/>
          <w:szCs w:val="24"/>
        </w:rPr>
      </w:pPr>
      <w:r>
        <w:rPr>
          <w:rStyle w:val="apple-style-span"/>
          <w:color w:val="000000"/>
          <w:sz w:val="24"/>
          <w:szCs w:val="24"/>
        </w:rPr>
        <w:t xml:space="preserve">Bird alleges that </w:t>
      </w:r>
      <w:proofErr w:type="spellStart"/>
      <w:r>
        <w:rPr>
          <w:rStyle w:val="apple-style-span"/>
          <w:color w:val="000000"/>
          <w:sz w:val="24"/>
          <w:szCs w:val="24"/>
        </w:rPr>
        <w:t>Muslow</w:t>
      </w:r>
      <w:proofErr w:type="spellEnd"/>
      <w:r>
        <w:rPr>
          <w:rStyle w:val="apple-style-span"/>
          <w:color w:val="000000"/>
          <w:sz w:val="24"/>
          <w:szCs w:val="24"/>
        </w:rPr>
        <w:t xml:space="preserve"> gained knowledge of the migration</w:t>
      </w:r>
      <w:r w:rsidR="00391633">
        <w:rPr>
          <w:rStyle w:val="apple-style-span"/>
          <w:color w:val="000000"/>
          <w:sz w:val="24"/>
          <w:szCs w:val="24"/>
        </w:rPr>
        <w:t xml:space="preserve"> of roofing waste materials onto the </w:t>
      </w:r>
      <w:proofErr w:type="spellStart"/>
      <w:r w:rsidR="00391633">
        <w:rPr>
          <w:rStyle w:val="apple-style-span"/>
          <w:color w:val="000000"/>
          <w:sz w:val="24"/>
          <w:szCs w:val="24"/>
        </w:rPr>
        <w:t>Muslow</w:t>
      </w:r>
      <w:proofErr w:type="spellEnd"/>
      <w:r w:rsidR="00391633">
        <w:rPr>
          <w:rStyle w:val="apple-style-span"/>
          <w:color w:val="000000"/>
          <w:sz w:val="24"/>
          <w:szCs w:val="24"/>
        </w:rPr>
        <w:t xml:space="preserve"> property</w:t>
      </w:r>
      <w:r>
        <w:rPr>
          <w:rStyle w:val="apple-style-span"/>
          <w:color w:val="000000"/>
          <w:sz w:val="24"/>
          <w:szCs w:val="24"/>
        </w:rPr>
        <w:t xml:space="preserve"> prior to 1990.  Thomas Bozeman, a pasture lessee of </w:t>
      </w:r>
      <w:proofErr w:type="spellStart"/>
      <w:r>
        <w:rPr>
          <w:rStyle w:val="apple-style-span"/>
          <w:color w:val="000000"/>
          <w:sz w:val="24"/>
          <w:szCs w:val="24"/>
        </w:rPr>
        <w:t>Muslow</w:t>
      </w:r>
      <w:proofErr w:type="spellEnd"/>
      <w:r w:rsidR="004F269F">
        <w:rPr>
          <w:rStyle w:val="apple-style-span"/>
          <w:color w:val="000000"/>
          <w:sz w:val="24"/>
          <w:szCs w:val="24"/>
        </w:rPr>
        <w:t xml:space="preserve"> until the 1990s</w:t>
      </w:r>
      <w:r>
        <w:rPr>
          <w:rStyle w:val="apple-style-span"/>
          <w:color w:val="000000"/>
          <w:sz w:val="24"/>
          <w:szCs w:val="24"/>
        </w:rPr>
        <w:t xml:space="preserve">, discovered that the shingle pile had pushed down the fence between the </w:t>
      </w:r>
      <w:proofErr w:type="spellStart"/>
      <w:r>
        <w:rPr>
          <w:rStyle w:val="apple-style-span"/>
          <w:color w:val="000000"/>
          <w:sz w:val="24"/>
          <w:szCs w:val="24"/>
        </w:rPr>
        <w:t>Muslow</w:t>
      </w:r>
      <w:proofErr w:type="spellEnd"/>
      <w:r>
        <w:rPr>
          <w:rStyle w:val="apple-style-span"/>
          <w:color w:val="000000"/>
          <w:sz w:val="24"/>
          <w:szCs w:val="24"/>
        </w:rPr>
        <w:t xml:space="preserve"> and Manuel properties and that some shingles had migrated past the fence line.  He “considered it a very minor nuisance”</w:t>
      </w:r>
      <w:r>
        <w:rPr>
          <w:rStyle w:val="FootnoteReference"/>
          <w:color w:val="000000"/>
          <w:sz w:val="24"/>
          <w:szCs w:val="24"/>
        </w:rPr>
        <w:footnoteReference w:id="1"/>
      </w:r>
      <w:r>
        <w:rPr>
          <w:rStyle w:val="apple-style-span"/>
          <w:color w:val="000000"/>
          <w:sz w:val="24"/>
          <w:szCs w:val="24"/>
        </w:rPr>
        <w:t xml:space="preserve"> but reported the encroachment, as well as his own repair of the fence, to James </w:t>
      </w:r>
      <w:proofErr w:type="spellStart"/>
      <w:r>
        <w:rPr>
          <w:rStyle w:val="apple-style-span"/>
          <w:color w:val="000000"/>
          <w:sz w:val="24"/>
          <w:szCs w:val="24"/>
        </w:rPr>
        <w:t>Muslow</w:t>
      </w:r>
      <w:proofErr w:type="spellEnd"/>
      <w:r>
        <w:rPr>
          <w:rStyle w:val="apple-style-span"/>
          <w:color w:val="000000"/>
          <w:sz w:val="24"/>
          <w:szCs w:val="24"/>
        </w:rPr>
        <w:t>.  He is unable to recall when this report was made, stating “I don’t know what year that was…I really don’t remember.”</w:t>
      </w:r>
      <w:r>
        <w:rPr>
          <w:rStyle w:val="FootnoteReference"/>
          <w:color w:val="000000"/>
          <w:sz w:val="24"/>
          <w:szCs w:val="24"/>
        </w:rPr>
        <w:footnoteReference w:id="2"/>
      </w:r>
      <w:r w:rsidR="00E5352F">
        <w:rPr>
          <w:rStyle w:val="apple-style-span"/>
          <w:color w:val="000000"/>
          <w:sz w:val="24"/>
          <w:szCs w:val="24"/>
        </w:rPr>
        <w:t xml:space="preserve">  The time or contents of this conversation cannot be </w:t>
      </w:r>
      <w:r w:rsidR="00043328">
        <w:rPr>
          <w:rStyle w:val="apple-style-span"/>
          <w:color w:val="000000"/>
          <w:sz w:val="24"/>
          <w:szCs w:val="24"/>
        </w:rPr>
        <w:t>confirmed</w:t>
      </w:r>
      <w:r w:rsidR="00E5352F">
        <w:rPr>
          <w:rStyle w:val="apple-style-span"/>
          <w:color w:val="000000"/>
          <w:sz w:val="24"/>
          <w:szCs w:val="24"/>
        </w:rPr>
        <w:t xml:space="preserve"> as Mr. </w:t>
      </w:r>
      <w:proofErr w:type="spellStart"/>
      <w:r w:rsidR="00E5352F">
        <w:rPr>
          <w:rStyle w:val="apple-style-span"/>
          <w:color w:val="000000"/>
          <w:sz w:val="24"/>
          <w:szCs w:val="24"/>
        </w:rPr>
        <w:t>Muslow</w:t>
      </w:r>
      <w:proofErr w:type="spellEnd"/>
      <w:r w:rsidR="00E5352F">
        <w:rPr>
          <w:rStyle w:val="apple-style-span"/>
          <w:color w:val="000000"/>
          <w:sz w:val="24"/>
          <w:szCs w:val="24"/>
        </w:rPr>
        <w:t xml:space="preserve"> is now deceased.</w:t>
      </w:r>
    </w:p>
    <w:p w:rsidR="007C5891" w:rsidRPr="00232C84" w:rsidRDefault="00232C84" w:rsidP="008738C9">
      <w:pPr>
        <w:spacing w:line="480" w:lineRule="auto"/>
        <w:ind w:firstLine="720"/>
        <w:rPr>
          <w:rStyle w:val="apple-style-span"/>
          <w:color w:val="000000"/>
          <w:sz w:val="24"/>
          <w:szCs w:val="24"/>
        </w:rPr>
      </w:pPr>
      <w:r>
        <w:rPr>
          <w:rStyle w:val="apple-style-span"/>
          <w:color w:val="000000"/>
          <w:sz w:val="24"/>
          <w:szCs w:val="24"/>
        </w:rPr>
        <w:t>T</w:t>
      </w:r>
      <w:r w:rsidR="007C5891">
        <w:rPr>
          <w:rStyle w:val="apple-style-span"/>
          <w:color w:val="000000"/>
          <w:sz w:val="24"/>
          <w:szCs w:val="24"/>
        </w:rPr>
        <w:t xml:space="preserve">he Louisiana Supreme Court’s </w:t>
      </w:r>
      <w:r w:rsidR="000F10FB">
        <w:rPr>
          <w:rStyle w:val="apple-style-span"/>
          <w:color w:val="000000"/>
          <w:sz w:val="24"/>
          <w:szCs w:val="24"/>
        </w:rPr>
        <w:t xml:space="preserve">most </w:t>
      </w:r>
      <w:r w:rsidR="007C5891">
        <w:rPr>
          <w:rStyle w:val="apple-style-span"/>
          <w:color w:val="000000"/>
          <w:sz w:val="24"/>
          <w:szCs w:val="24"/>
        </w:rPr>
        <w:t>recent ruling</w:t>
      </w:r>
      <w:r w:rsidR="00B0614C">
        <w:rPr>
          <w:rStyle w:val="apple-style-span"/>
          <w:color w:val="000000"/>
          <w:sz w:val="24"/>
          <w:szCs w:val="24"/>
        </w:rPr>
        <w:t xml:space="preserve"> on constructive knowledge</w:t>
      </w:r>
      <w:r>
        <w:rPr>
          <w:rStyle w:val="apple-style-span"/>
          <w:color w:val="000000"/>
          <w:sz w:val="24"/>
          <w:szCs w:val="24"/>
        </w:rPr>
        <w:t xml:space="preserve"> is</w:t>
      </w:r>
      <w:r w:rsidR="007C5891">
        <w:rPr>
          <w:rStyle w:val="apple-style-span"/>
          <w:color w:val="000000"/>
          <w:sz w:val="24"/>
          <w:szCs w:val="24"/>
        </w:rPr>
        <w:t xml:space="preserve"> in </w:t>
      </w:r>
      <w:r w:rsidR="007C5891">
        <w:rPr>
          <w:rStyle w:val="apple-style-span"/>
          <w:i/>
          <w:color w:val="000000"/>
          <w:sz w:val="24"/>
          <w:szCs w:val="24"/>
        </w:rPr>
        <w:t>Marin v. Exxon Mobil Corp</w:t>
      </w:r>
      <w:r w:rsidR="007C5891">
        <w:rPr>
          <w:rStyle w:val="apple-style-span"/>
          <w:color w:val="000000"/>
          <w:sz w:val="24"/>
          <w:szCs w:val="24"/>
        </w:rPr>
        <w:t>.  In that case the Court found that there was sufficient constructive knowledge to place the property owners on notice of</w:t>
      </w:r>
      <w:r w:rsidR="00090AAC">
        <w:rPr>
          <w:rStyle w:val="apple-style-span"/>
          <w:color w:val="000000"/>
          <w:sz w:val="24"/>
          <w:szCs w:val="24"/>
        </w:rPr>
        <w:t xml:space="preserve"> possible</w:t>
      </w:r>
      <w:r w:rsidR="007C5891">
        <w:rPr>
          <w:rStyle w:val="apple-style-span"/>
          <w:color w:val="000000"/>
          <w:sz w:val="24"/>
          <w:szCs w:val="24"/>
        </w:rPr>
        <w:t xml:space="preserve"> environmental contamination.  One of the plaintiff landowners, Clyde Breaux, approached Exxon with the knowledge that Exxon had dumped waste into the open pits for at least 40 years.  He also knew that sugar cane would not grow on the areas surrounding the pits.  In 1987 Mr. Breaux requested that Exxon remediate the property.  Some time later Exxon informed Mr. Breaux that the pits could not be cleaned up.</w:t>
      </w:r>
      <w:r w:rsidR="00090AAC">
        <w:rPr>
          <w:rStyle w:val="apple-style-span"/>
          <w:i/>
          <w:color w:val="000000"/>
          <w:sz w:val="24"/>
          <w:szCs w:val="24"/>
        </w:rPr>
        <w:t xml:space="preserve">  </w:t>
      </w:r>
      <w:proofErr w:type="gramStart"/>
      <w:r w:rsidR="00090AAC">
        <w:rPr>
          <w:rStyle w:val="apple-style-span"/>
          <w:i/>
          <w:color w:val="000000"/>
          <w:sz w:val="24"/>
          <w:szCs w:val="24"/>
        </w:rPr>
        <w:t>Marin, supra</w:t>
      </w:r>
      <w:r w:rsidR="00090AAC">
        <w:rPr>
          <w:rStyle w:val="apple-style-span"/>
          <w:color w:val="000000"/>
          <w:sz w:val="24"/>
          <w:szCs w:val="24"/>
        </w:rPr>
        <w:t xml:space="preserve"> at 248.</w:t>
      </w:r>
      <w:proofErr w:type="gramEnd"/>
      <w:r w:rsidR="00B0614C">
        <w:rPr>
          <w:rStyle w:val="apple-style-span"/>
          <w:color w:val="000000"/>
          <w:sz w:val="24"/>
          <w:szCs w:val="24"/>
        </w:rPr>
        <w:t xml:space="preserve">  These notifications are</w:t>
      </w:r>
      <w:r w:rsidR="000F10FB">
        <w:rPr>
          <w:rStyle w:val="apple-style-span"/>
          <w:color w:val="000000"/>
          <w:sz w:val="24"/>
          <w:szCs w:val="24"/>
        </w:rPr>
        <w:t xml:space="preserve"> far more obvious</w:t>
      </w:r>
      <w:r>
        <w:rPr>
          <w:rStyle w:val="apple-style-span"/>
          <w:color w:val="000000"/>
          <w:sz w:val="24"/>
          <w:szCs w:val="24"/>
        </w:rPr>
        <w:t xml:space="preserve"> evidence of environmental contamination</w:t>
      </w:r>
      <w:r w:rsidR="000F10FB">
        <w:rPr>
          <w:rStyle w:val="apple-style-span"/>
          <w:color w:val="000000"/>
          <w:sz w:val="24"/>
          <w:szCs w:val="24"/>
        </w:rPr>
        <w:t xml:space="preserve"> than Mr. Bozeman’</w:t>
      </w:r>
      <w:r>
        <w:rPr>
          <w:rStyle w:val="apple-style-span"/>
          <w:color w:val="000000"/>
          <w:sz w:val="24"/>
          <w:szCs w:val="24"/>
        </w:rPr>
        <w:t xml:space="preserve">s </w:t>
      </w:r>
      <w:r w:rsidR="00B0614C">
        <w:rPr>
          <w:rStyle w:val="apple-style-span"/>
          <w:color w:val="000000"/>
          <w:sz w:val="24"/>
          <w:szCs w:val="24"/>
        </w:rPr>
        <w:t xml:space="preserve">alleged </w:t>
      </w:r>
      <w:r>
        <w:rPr>
          <w:rStyle w:val="apple-style-span"/>
          <w:color w:val="000000"/>
          <w:sz w:val="24"/>
          <w:szCs w:val="24"/>
        </w:rPr>
        <w:t xml:space="preserve">statements in the case at bar and </w:t>
      </w:r>
      <w:r>
        <w:rPr>
          <w:rStyle w:val="apple-style-span"/>
          <w:i/>
          <w:color w:val="000000"/>
          <w:sz w:val="24"/>
          <w:szCs w:val="24"/>
        </w:rPr>
        <w:t>Marin</w:t>
      </w:r>
      <w:r>
        <w:rPr>
          <w:rStyle w:val="apple-style-span"/>
          <w:color w:val="000000"/>
          <w:sz w:val="24"/>
          <w:szCs w:val="24"/>
        </w:rPr>
        <w:t xml:space="preserve"> is clearly distinguishable.</w:t>
      </w:r>
    </w:p>
    <w:p w:rsidR="000F10FB" w:rsidRPr="00090AAC" w:rsidRDefault="000F10FB" w:rsidP="008738C9">
      <w:pPr>
        <w:spacing w:line="480" w:lineRule="auto"/>
        <w:ind w:firstLine="720"/>
        <w:rPr>
          <w:rStyle w:val="apple-style-span"/>
          <w:color w:val="000000"/>
          <w:sz w:val="24"/>
          <w:szCs w:val="24"/>
        </w:rPr>
      </w:pPr>
      <w:r>
        <w:rPr>
          <w:rStyle w:val="apple-style-span"/>
          <w:color w:val="000000"/>
          <w:sz w:val="24"/>
          <w:szCs w:val="24"/>
        </w:rPr>
        <w:lastRenderedPageBreak/>
        <w:t xml:space="preserve">Assuming that Mr. Bozeman did, in fact, report the migration prior to 1990, </w:t>
      </w:r>
      <w:proofErr w:type="spellStart"/>
      <w:r>
        <w:rPr>
          <w:rStyle w:val="apple-style-span"/>
          <w:color w:val="000000"/>
          <w:sz w:val="24"/>
          <w:szCs w:val="24"/>
        </w:rPr>
        <w:t>Muslow’s</w:t>
      </w:r>
      <w:proofErr w:type="spellEnd"/>
      <w:r>
        <w:rPr>
          <w:rStyle w:val="apple-style-span"/>
          <w:color w:val="000000"/>
          <w:sz w:val="24"/>
          <w:szCs w:val="24"/>
        </w:rPr>
        <w:t xml:space="preserve"> failure to investigate further was reasonable under the circumstances.  The affected area of the property is covered by thick vegetation and was used primarily for hunting and grazing cattle.</w:t>
      </w:r>
      <w:r>
        <w:rPr>
          <w:rStyle w:val="FootnoteReference"/>
          <w:color w:val="000000"/>
          <w:sz w:val="24"/>
          <w:szCs w:val="24"/>
        </w:rPr>
        <w:footnoteReference w:id="3"/>
      </w:r>
      <w:r>
        <w:rPr>
          <w:rStyle w:val="apple-style-span"/>
          <w:color w:val="000000"/>
          <w:sz w:val="24"/>
          <w:szCs w:val="24"/>
        </w:rPr>
        <w:t xml:space="preserve">  A survey of the entire property was not conducted </w:t>
      </w:r>
      <w:r w:rsidR="00B0614C">
        <w:rPr>
          <w:rStyle w:val="apple-style-span"/>
          <w:color w:val="000000"/>
          <w:sz w:val="24"/>
          <w:szCs w:val="24"/>
        </w:rPr>
        <w:t xml:space="preserve">until 2005, when </w:t>
      </w:r>
      <w:proofErr w:type="spellStart"/>
      <w:r w:rsidR="00B0614C">
        <w:rPr>
          <w:rStyle w:val="apple-style-span"/>
          <w:color w:val="000000"/>
          <w:sz w:val="24"/>
          <w:szCs w:val="24"/>
        </w:rPr>
        <w:t>Muslow</w:t>
      </w:r>
      <w:proofErr w:type="spellEnd"/>
      <w:r w:rsidR="00B0614C">
        <w:rPr>
          <w:rStyle w:val="apple-style-span"/>
          <w:color w:val="000000"/>
          <w:sz w:val="24"/>
          <w:szCs w:val="24"/>
        </w:rPr>
        <w:t xml:space="preserve"> needed to </w:t>
      </w:r>
      <w:r>
        <w:rPr>
          <w:rStyle w:val="apple-style-span"/>
          <w:color w:val="000000"/>
          <w:sz w:val="24"/>
          <w:szCs w:val="24"/>
        </w:rPr>
        <w:t>determine the exact location of boundary lines.</w:t>
      </w:r>
      <w:r>
        <w:rPr>
          <w:rStyle w:val="FootnoteReference"/>
          <w:color w:val="000000"/>
          <w:sz w:val="24"/>
          <w:szCs w:val="24"/>
        </w:rPr>
        <w:footnoteReference w:id="4"/>
      </w:r>
      <w:r>
        <w:rPr>
          <w:rStyle w:val="apple-style-span"/>
          <w:color w:val="000000"/>
          <w:sz w:val="24"/>
          <w:szCs w:val="24"/>
        </w:rPr>
        <w:t xml:space="preserve">  In 2005 the shingles had encroached at least 50 feet onto the property</w:t>
      </w:r>
      <w:r>
        <w:rPr>
          <w:rStyle w:val="FootnoteReference"/>
          <w:color w:val="000000"/>
          <w:sz w:val="24"/>
          <w:szCs w:val="24"/>
        </w:rPr>
        <w:footnoteReference w:id="5"/>
      </w:r>
      <w:r>
        <w:rPr>
          <w:rStyle w:val="apple-style-span"/>
          <w:color w:val="000000"/>
          <w:sz w:val="24"/>
          <w:szCs w:val="24"/>
        </w:rPr>
        <w:t>, rather than the “two to three or four feet”</w:t>
      </w:r>
      <w:r>
        <w:rPr>
          <w:rStyle w:val="FootnoteReference"/>
          <w:color w:val="000000"/>
          <w:sz w:val="24"/>
          <w:szCs w:val="24"/>
        </w:rPr>
        <w:footnoteReference w:id="6"/>
      </w:r>
      <w:r>
        <w:rPr>
          <w:rStyle w:val="apple-style-span"/>
          <w:color w:val="000000"/>
          <w:sz w:val="24"/>
          <w:szCs w:val="24"/>
        </w:rPr>
        <w:t xml:space="preserve"> </w:t>
      </w:r>
      <w:r w:rsidR="001353FE">
        <w:rPr>
          <w:rStyle w:val="apple-style-span"/>
          <w:color w:val="000000"/>
          <w:sz w:val="24"/>
          <w:szCs w:val="24"/>
        </w:rPr>
        <w:t xml:space="preserve">reported by </w:t>
      </w:r>
      <w:r>
        <w:rPr>
          <w:rStyle w:val="apple-style-span"/>
          <w:color w:val="000000"/>
          <w:sz w:val="24"/>
          <w:szCs w:val="24"/>
        </w:rPr>
        <w:t xml:space="preserve">Mr. Bozeman.  Further Mr. Bozeman has stated that he informed Mr. </w:t>
      </w:r>
      <w:proofErr w:type="spellStart"/>
      <w:r>
        <w:rPr>
          <w:rStyle w:val="apple-style-span"/>
          <w:color w:val="000000"/>
          <w:sz w:val="24"/>
          <w:szCs w:val="24"/>
        </w:rPr>
        <w:t>Muslow</w:t>
      </w:r>
      <w:proofErr w:type="spellEnd"/>
      <w:r>
        <w:rPr>
          <w:rStyle w:val="apple-style-span"/>
          <w:color w:val="000000"/>
          <w:sz w:val="24"/>
          <w:szCs w:val="24"/>
        </w:rPr>
        <w:t xml:space="preserve"> that the fence had been repaired, so Mr. </w:t>
      </w:r>
      <w:proofErr w:type="spellStart"/>
      <w:r>
        <w:rPr>
          <w:rStyle w:val="apple-style-span"/>
          <w:color w:val="000000"/>
          <w:sz w:val="24"/>
          <w:szCs w:val="24"/>
        </w:rPr>
        <w:t>Muslow</w:t>
      </w:r>
      <w:proofErr w:type="spellEnd"/>
      <w:r>
        <w:rPr>
          <w:rStyle w:val="apple-style-span"/>
          <w:color w:val="000000"/>
          <w:sz w:val="24"/>
          <w:szCs w:val="24"/>
        </w:rPr>
        <w:t xml:space="preserve"> </w:t>
      </w:r>
      <w:r w:rsidR="004C1115">
        <w:rPr>
          <w:rStyle w:val="apple-style-span"/>
          <w:color w:val="000000"/>
          <w:sz w:val="24"/>
          <w:szCs w:val="24"/>
        </w:rPr>
        <w:t>would have had no reason to believe that any</w:t>
      </w:r>
      <w:r>
        <w:rPr>
          <w:rStyle w:val="apple-style-span"/>
          <w:color w:val="000000"/>
          <w:sz w:val="24"/>
          <w:szCs w:val="24"/>
        </w:rPr>
        <w:t xml:space="preserve"> migration of shingles would continue.</w:t>
      </w:r>
    </w:p>
    <w:p w:rsidR="00B40401" w:rsidRDefault="00B40401" w:rsidP="00B40401">
      <w:pPr>
        <w:pStyle w:val="ListParagraph"/>
        <w:numPr>
          <w:ilvl w:val="0"/>
          <w:numId w:val="1"/>
        </w:numPr>
        <w:spacing w:line="480" w:lineRule="auto"/>
        <w:rPr>
          <w:sz w:val="24"/>
          <w:szCs w:val="24"/>
        </w:rPr>
      </w:pPr>
      <w:r>
        <w:rPr>
          <w:sz w:val="24"/>
          <w:szCs w:val="24"/>
        </w:rPr>
        <w:t>Continuing Trespass/Continuing Tort</w:t>
      </w:r>
    </w:p>
    <w:p w:rsidR="00F46AAD" w:rsidRDefault="00381D0C" w:rsidP="00280242">
      <w:pPr>
        <w:spacing w:line="480" w:lineRule="auto"/>
        <w:ind w:firstLine="720"/>
        <w:rPr>
          <w:sz w:val="24"/>
          <w:szCs w:val="24"/>
        </w:rPr>
      </w:pPr>
      <w:r>
        <w:rPr>
          <w:sz w:val="24"/>
          <w:szCs w:val="24"/>
        </w:rPr>
        <w:t xml:space="preserve">“When the tortious conduct and resulting damages continue, prescription does not begin until the conduct causing the damage is abated.”  </w:t>
      </w:r>
      <w:proofErr w:type="gramStart"/>
      <w:r>
        <w:rPr>
          <w:i/>
          <w:sz w:val="24"/>
          <w:szCs w:val="24"/>
        </w:rPr>
        <w:t>South Central Bell Telephone Co., supra.</w:t>
      </w:r>
      <w:proofErr w:type="gramEnd"/>
      <w:r>
        <w:rPr>
          <w:i/>
          <w:sz w:val="24"/>
          <w:szCs w:val="24"/>
        </w:rPr>
        <w:t xml:space="preserve"> </w:t>
      </w:r>
      <w:proofErr w:type="gramStart"/>
      <w:r w:rsidR="00BF0096">
        <w:rPr>
          <w:sz w:val="24"/>
          <w:szCs w:val="24"/>
        </w:rPr>
        <w:t>a</w:t>
      </w:r>
      <w:r>
        <w:rPr>
          <w:sz w:val="24"/>
          <w:szCs w:val="24"/>
        </w:rPr>
        <w:t>t</w:t>
      </w:r>
      <w:proofErr w:type="gramEnd"/>
      <w:r>
        <w:rPr>
          <w:sz w:val="24"/>
          <w:szCs w:val="24"/>
        </w:rPr>
        <w:t xml:space="preserve"> 533.</w:t>
      </w:r>
      <w:r w:rsidR="00280242">
        <w:rPr>
          <w:sz w:val="24"/>
          <w:szCs w:val="24"/>
        </w:rPr>
        <w:t xml:space="preserve">  </w:t>
      </w:r>
      <w:r w:rsidR="001F0B07">
        <w:rPr>
          <w:sz w:val="24"/>
          <w:szCs w:val="24"/>
        </w:rPr>
        <w:t>T</w:t>
      </w:r>
      <w:r w:rsidR="00BF0096">
        <w:rPr>
          <w:sz w:val="24"/>
          <w:szCs w:val="24"/>
        </w:rPr>
        <w:t>here is a distinction between damages caused by multiple acts and damages caused by ongoing actions.  To make this determination, the Court must look to the operating cause of the complained of injury</w:t>
      </w:r>
      <w:r w:rsidR="008F289D">
        <w:rPr>
          <w:sz w:val="24"/>
          <w:szCs w:val="24"/>
        </w:rPr>
        <w:t xml:space="preserve"> to determine if there were “overt, persistent, and ongoing acts” on the part of defendants</w:t>
      </w:r>
      <w:r w:rsidR="00BF0096">
        <w:rPr>
          <w:sz w:val="24"/>
          <w:szCs w:val="24"/>
        </w:rPr>
        <w:t xml:space="preserve">.  </w:t>
      </w:r>
      <w:proofErr w:type="gramStart"/>
      <w:r w:rsidR="00BF0096">
        <w:rPr>
          <w:i/>
          <w:sz w:val="24"/>
          <w:szCs w:val="24"/>
        </w:rPr>
        <w:t>Hogg v. Chevron USA, Inc.</w:t>
      </w:r>
      <w:r w:rsidR="00BF0096">
        <w:rPr>
          <w:sz w:val="24"/>
          <w:szCs w:val="24"/>
        </w:rPr>
        <w:t>, 2009-2632 (La. 7/6/10); 45 So.3d 991, 1003</w:t>
      </w:r>
      <w:r w:rsidR="008F289D">
        <w:rPr>
          <w:sz w:val="24"/>
          <w:szCs w:val="24"/>
        </w:rPr>
        <w:t>, 1005</w:t>
      </w:r>
      <w:r w:rsidR="00BF0096">
        <w:rPr>
          <w:sz w:val="24"/>
          <w:szCs w:val="24"/>
        </w:rPr>
        <w:t>.</w:t>
      </w:r>
      <w:proofErr w:type="gramEnd"/>
      <w:r w:rsidR="00BF0096">
        <w:rPr>
          <w:sz w:val="24"/>
          <w:szCs w:val="24"/>
        </w:rPr>
        <w:t xml:space="preserve">  Courts have held that the </w:t>
      </w:r>
      <w:r w:rsidR="00983BC2">
        <w:rPr>
          <w:sz w:val="24"/>
          <w:szCs w:val="24"/>
        </w:rPr>
        <w:t>depositing of waste materials</w:t>
      </w:r>
      <w:r w:rsidR="00BF0096">
        <w:rPr>
          <w:sz w:val="24"/>
          <w:szCs w:val="24"/>
        </w:rPr>
        <w:t xml:space="preserve"> is the operating cause of damage, rather than the failure to remove it.  </w:t>
      </w:r>
      <w:proofErr w:type="gramStart"/>
      <w:r w:rsidR="00BF0096">
        <w:rPr>
          <w:i/>
          <w:sz w:val="24"/>
          <w:szCs w:val="24"/>
        </w:rPr>
        <w:t>Hogg, supra.</w:t>
      </w:r>
      <w:proofErr w:type="gramEnd"/>
      <w:r w:rsidR="00BF0096">
        <w:rPr>
          <w:sz w:val="24"/>
          <w:szCs w:val="24"/>
        </w:rPr>
        <w:t xml:space="preserve"> </w:t>
      </w:r>
      <w:proofErr w:type="gramStart"/>
      <w:r w:rsidR="00BF0096">
        <w:rPr>
          <w:sz w:val="24"/>
          <w:szCs w:val="24"/>
        </w:rPr>
        <w:t>at</w:t>
      </w:r>
      <w:proofErr w:type="gramEnd"/>
      <w:r w:rsidR="00BF0096">
        <w:rPr>
          <w:sz w:val="24"/>
          <w:szCs w:val="24"/>
        </w:rPr>
        <w:t xml:space="preserve"> 1005.  </w:t>
      </w:r>
    </w:p>
    <w:p w:rsidR="001353FE" w:rsidRDefault="00BF0096" w:rsidP="00280242">
      <w:pPr>
        <w:spacing w:line="480" w:lineRule="auto"/>
        <w:ind w:firstLine="720"/>
        <w:rPr>
          <w:sz w:val="24"/>
          <w:szCs w:val="24"/>
        </w:rPr>
      </w:pPr>
      <w:r>
        <w:rPr>
          <w:sz w:val="24"/>
          <w:szCs w:val="24"/>
        </w:rPr>
        <w:t xml:space="preserve">For example, in </w:t>
      </w:r>
      <w:r>
        <w:rPr>
          <w:i/>
          <w:sz w:val="24"/>
          <w:szCs w:val="24"/>
        </w:rPr>
        <w:t>Crump v. Sabine River Authority</w:t>
      </w:r>
      <w:r>
        <w:rPr>
          <w:sz w:val="24"/>
          <w:szCs w:val="24"/>
        </w:rPr>
        <w:t xml:space="preserve">, 98-2326 (La. 629/99); 737 So.2d 720, the Louisiana Supreme Court found that </w:t>
      </w:r>
      <w:r w:rsidR="00EE0A82">
        <w:rPr>
          <w:sz w:val="24"/>
          <w:szCs w:val="24"/>
        </w:rPr>
        <w:t>the continued presence of a canal on the property of a third party, which drained water from a lake on plaintiff’s property, was not a continuous tort and that the operating cause of the injury was the dredging of the canal.</w:t>
      </w:r>
      <w:r w:rsidR="007F3A05">
        <w:rPr>
          <w:sz w:val="24"/>
          <w:szCs w:val="24"/>
        </w:rPr>
        <w:t xml:space="preserve">  </w:t>
      </w:r>
      <w:r w:rsidR="00073487">
        <w:rPr>
          <w:sz w:val="24"/>
          <w:szCs w:val="24"/>
        </w:rPr>
        <w:t xml:space="preserve">Following the decision in </w:t>
      </w:r>
      <w:r w:rsidR="00073487">
        <w:rPr>
          <w:i/>
          <w:sz w:val="24"/>
          <w:szCs w:val="24"/>
        </w:rPr>
        <w:t>Crump</w:t>
      </w:r>
      <w:r w:rsidR="00073487">
        <w:rPr>
          <w:sz w:val="24"/>
          <w:szCs w:val="24"/>
        </w:rPr>
        <w:t xml:space="preserve">, the Third Circuit Court of Appeal found that the failure to remove oilfield waste was not a continuing tort where the deposit of waste had ceased.  </w:t>
      </w:r>
      <w:proofErr w:type="spellStart"/>
      <w:proofErr w:type="gramStart"/>
      <w:r w:rsidR="00073487">
        <w:rPr>
          <w:i/>
          <w:sz w:val="24"/>
          <w:szCs w:val="24"/>
        </w:rPr>
        <w:t>LeJeune</w:t>
      </w:r>
      <w:proofErr w:type="spellEnd"/>
      <w:r w:rsidR="00073487">
        <w:rPr>
          <w:i/>
          <w:sz w:val="24"/>
          <w:szCs w:val="24"/>
        </w:rPr>
        <w:t xml:space="preserve"> Brothers, Inc. v. Goodrich Petroleum</w:t>
      </w:r>
      <w:r w:rsidR="00073487">
        <w:rPr>
          <w:sz w:val="24"/>
          <w:szCs w:val="24"/>
        </w:rPr>
        <w:t>, 06-1557 (La. App. 3 Cir. 11/28/07); 981 So.2d 23.</w:t>
      </w:r>
      <w:proofErr w:type="gramEnd"/>
      <w:r w:rsidR="003B4A1A">
        <w:rPr>
          <w:sz w:val="24"/>
          <w:szCs w:val="24"/>
        </w:rPr>
        <w:t xml:space="preserve">  </w:t>
      </w:r>
      <w:r w:rsidR="00B94252">
        <w:rPr>
          <w:sz w:val="24"/>
          <w:szCs w:val="24"/>
        </w:rPr>
        <w:t xml:space="preserve">In </w:t>
      </w:r>
      <w:r w:rsidR="00B94252">
        <w:rPr>
          <w:i/>
          <w:sz w:val="24"/>
          <w:szCs w:val="24"/>
        </w:rPr>
        <w:t>Hogg</w:t>
      </w:r>
      <w:r w:rsidR="00B94252">
        <w:rPr>
          <w:sz w:val="24"/>
          <w:szCs w:val="24"/>
        </w:rPr>
        <w:t>, the Court found that the “presence of gasoline on plaintiff’s property is the continuing effect of prior wrongful conduct</w:t>
      </w:r>
      <w:r w:rsidR="00983BC2">
        <w:rPr>
          <w:sz w:val="24"/>
          <w:szCs w:val="24"/>
        </w:rPr>
        <w:t xml:space="preserve">,” </w:t>
      </w:r>
    </w:p>
    <w:p w:rsidR="001353FE" w:rsidRDefault="001353FE">
      <w:pPr>
        <w:rPr>
          <w:sz w:val="24"/>
          <w:szCs w:val="24"/>
        </w:rPr>
      </w:pPr>
      <w:r>
        <w:rPr>
          <w:sz w:val="24"/>
          <w:szCs w:val="24"/>
        </w:rPr>
        <w:br w:type="page"/>
      </w:r>
    </w:p>
    <w:p w:rsidR="00280242" w:rsidRPr="00B94252" w:rsidRDefault="001353FE" w:rsidP="001353FE">
      <w:pPr>
        <w:spacing w:line="480" w:lineRule="auto"/>
        <w:rPr>
          <w:sz w:val="24"/>
          <w:szCs w:val="24"/>
        </w:rPr>
      </w:pPr>
      <w:proofErr w:type="gramStart"/>
      <w:r>
        <w:rPr>
          <w:sz w:val="24"/>
          <w:szCs w:val="24"/>
        </w:rPr>
        <w:lastRenderedPageBreak/>
        <w:t>a</w:t>
      </w:r>
      <w:r w:rsidR="00983BC2">
        <w:rPr>
          <w:sz w:val="24"/>
          <w:szCs w:val="24"/>
        </w:rPr>
        <w:t>nd</w:t>
      </w:r>
      <w:proofErr w:type="gramEnd"/>
      <w:r w:rsidR="00983BC2">
        <w:rPr>
          <w:sz w:val="24"/>
          <w:szCs w:val="24"/>
        </w:rPr>
        <w:t xml:space="preserve"> not a continuing tort, </w:t>
      </w:r>
      <w:r w:rsidR="00B94252">
        <w:rPr>
          <w:sz w:val="24"/>
          <w:szCs w:val="24"/>
        </w:rPr>
        <w:t xml:space="preserve">since there were no allegations of leaking after the tanks were replaced.  </w:t>
      </w:r>
      <w:proofErr w:type="gramStart"/>
      <w:r w:rsidR="00B94252">
        <w:rPr>
          <w:i/>
          <w:sz w:val="24"/>
          <w:szCs w:val="24"/>
        </w:rPr>
        <w:t>Supra.</w:t>
      </w:r>
      <w:proofErr w:type="gramEnd"/>
      <w:r w:rsidR="00B94252">
        <w:rPr>
          <w:i/>
          <w:sz w:val="24"/>
          <w:szCs w:val="24"/>
        </w:rPr>
        <w:t xml:space="preserve"> </w:t>
      </w:r>
      <w:proofErr w:type="gramStart"/>
      <w:r w:rsidR="00B94252">
        <w:rPr>
          <w:sz w:val="24"/>
          <w:szCs w:val="24"/>
        </w:rPr>
        <w:t>at</w:t>
      </w:r>
      <w:proofErr w:type="gramEnd"/>
      <w:r w:rsidR="00B94252">
        <w:rPr>
          <w:sz w:val="24"/>
          <w:szCs w:val="24"/>
        </w:rPr>
        <w:t xml:space="preserve"> 1006.  </w:t>
      </w:r>
      <w:r w:rsidR="00B94252">
        <w:rPr>
          <w:i/>
          <w:sz w:val="24"/>
          <w:szCs w:val="24"/>
        </w:rPr>
        <w:t>Hogg</w:t>
      </w:r>
      <w:r w:rsidR="00B94252">
        <w:rPr>
          <w:sz w:val="24"/>
          <w:szCs w:val="24"/>
        </w:rPr>
        <w:t xml:space="preserve"> was followed by </w:t>
      </w:r>
      <w:r w:rsidR="00B94252">
        <w:rPr>
          <w:i/>
          <w:sz w:val="24"/>
          <w:szCs w:val="24"/>
        </w:rPr>
        <w:t>Marin</w:t>
      </w:r>
      <w:r w:rsidR="00B94252">
        <w:rPr>
          <w:sz w:val="24"/>
          <w:szCs w:val="24"/>
        </w:rPr>
        <w:t>, which held that the continued migration of groundwater pollution caused by the disposal of oilfield waste was not a continuing tort because the oilfield pits on plaintiff’s land had been closed</w:t>
      </w:r>
      <w:r w:rsidR="00DD6E60">
        <w:rPr>
          <w:sz w:val="24"/>
          <w:szCs w:val="24"/>
        </w:rPr>
        <w:t>, thus terminating the operating cause of injury</w:t>
      </w:r>
      <w:r w:rsidR="00B94252">
        <w:rPr>
          <w:sz w:val="24"/>
          <w:szCs w:val="24"/>
        </w:rPr>
        <w:t xml:space="preserve">.  </w:t>
      </w:r>
      <w:proofErr w:type="gramStart"/>
      <w:r w:rsidR="00B94252">
        <w:rPr>
          <w:i/>
          <w:sz w:val="24"/>
          <w:szCs w:val="24"/>
        </w:rPr>
        <w:t>Marin, supra.</w:t>
      </w:r>
      <w:proofErr w:type="gramEnd"/>
      <w:r w:rsidR="00B94252">
        <w:rPr>
          <w:i/>
          <w:sz w:val="24"/>
          <w:szCs w:val="24"/>
        </w:rPr>
        <w:t xml:space="preserve"> </w:t>
      </w:r>
      <w:proofErr w:type="gramStart"/>
      <w:r w:rsidR="00B94252">
        <w:rPr>
          <w:sz w:val="24"/>
          <w:szCs w:val="24"/>
        </w:rPr>
        <w:t>at</w:t>
      </w:r>
      <w:proofErr w:type="gramEnd"/>
      <w:r w:rsidR="00B94252">
        <w:rPr>
          <w:sz w:val="24"/>
          <w:szCs w:val="24"/>
        </w:rPr>
        <w:t xml:space="preserve"> 254.</w:t>
      </w:r>
    </w:p>
    <w:p w:rsidR="00AF28DA" w:rsidRDefault="00280242" w:rsidP="00280242">
      <w:pPr>
        <w:spacing w:line="480" w:lineRule="auto"/>
        <w:ind w:firstLine="720"/>
        <w:rPr>
          <w:rStyle w:val="apple-style-span"/>
          <w:color w:val="000000"/>
          <w:sz w:val="24"/>
          <w:szCs w:val="24"/>
        </w:rPr>
      </w:pPr>
      <w:r>
        <w:rPr>
          <w:sz w:val="24"/>
          <w:szCs w:val="24"/>
        </w:rPr>
        <w:t xml:space="preserve">It is undisputed that Bird has not </w:t>
      </w:r>
      <w:r w:rsidR="00BF0096">
        <w:rPr>
          <w:sz w:val="24"/>
          <w:szCs w:val="24"/>
        </w:rPr>
        <w:t>placed</w:t>
      </w:r>
      <w:r>
        <w:rPr>
          <w:sz w:val="24"/>
          <w:szCs w:val="24"/>
        </w:rPr>
        <w:t xml:space="preserve"> any waste materials on the Manuel property since 1970.  </w:t>
      </w:r>
      <w:r w:rsidR="00B94252">
        <w:rPr>
          <w:sz w:val="24"/>
          <w:szCs w:val="24"/>
        </w:rPr>
        <w:t>However, i</w:t>
      </w:r>
      <w:r w:rsidR="00CF2B98">
        <w:rPr>
          <w:sz w:val="24"/>
          <w:szCs w:val="24"/>
        </w:rPr>
        <w:t xml:space="preserve">n the Petition and First Amended Petition, </w:t>
      </w:r>
      <w:proofErr w:type="spellStart"/>
      <w:r w:rsidR="00CF2B98">
        <w:rPr>
          <w:sz w:val="24"/>
          <w:szCs w:val="24"/>
        </w:rPr>
        <w:t>Muslow</w:t>
      </w:r>
      <w:proofErr w:type="spellEnd"/>
      <w:r w:rsidR="00CF2B98">
        <w:rPr>
          <w:sz w:val="24"/>
          <w:szCs w:val="24"/>
        </w:rPr>
        <w:t xml:space="preserve"> claims that the migration of waste</w:t>
      </w:r>
      <w:r>
        <w:rPr>
          <w:sz w:val="24"/>
          <w:szCs w:val="24"/>
        </w:rPr>
        <w:t xml:space="preserve"> from the Manuel property</w:t>
      </w:r>
      <w:r w:rsidR="00CF2B98">
        <w:rPr>
          <w:sz w:val="24"/>
          <w:szCs w:val="24"/>
        </w:rPr>
        <w:t xml:space="preserve"> onto its property is on-going.  This continued migration is evidenced by the great discrepancy in the amount of waste present between Mr. Bozeman’s allegations and the observations made by Mr. Bowman during his survey.</w:t>
      </w:r>
      <w:r w:rsidR="008B6FBE">
        <w:rPr>
          <w:sz w:val="24"/>
          <w:szCs w:val="24"/>
        </w:rPr>
        <w:t xml:space="preserve">  </w:t>
      </w:r>
      <w:r w:rsidR="00DD7AEE">
        <w:rPr>
          <w:rStyle w:val="apple-style-span"/>
          <w:color w:val="000000"/>
          <w:sz w:val="24"/>
          <w:szCs w:val="24"/>
        </w:rPr>
        <w:t xml:space="preserve">The deposits of roofing waste materials, placed by Bird, remain on the Manuel property and continue to slide down a hill onto the adjacent </w:t>
      </w:r>
      <w:proofErr w:type="spellStart"/>
      <w:r w:rsidR="00DD7AEE">
        <w:rPr>
          <w:rStyle w:val="apple-style-span"/>
          <w:color w:val="000000"/>
          <w:sz w:val="24"/>
          <w:szCs w:val="24"/>
        </w:rPr>
        <w:t>Muslow</w:t>
      </w:r>
      <w:proofErr w:type="spellEnd"/>
      <w:r w:rsidR="00DD7AEE">
        <w:rPr>
          <w:rStyle w:val="apple-style-span"/>
          <w:color w:val="000000"/>
          <w:sz w:val="24"/>
          <w:szCs w:val="24"/>
        </w:rPr>
        <w:t xml:space="preserve"> property.</w:t>
      </w:r>
      <w:r w:rsidR="00DD7AEE">
        <w:rPr>
          <w:rStyle w:val="FootnoteReference"/>
          <w:color w:val="000000"/>
          <w:sz w:val="24"/>
          <w:szCs w:val="24"/>
        </w:rPr>
        <w:footnoteReference w:id="7"/>
      </w:r>
      <w:r w:rsidR="00BC5899">
        <w:rPr>
          <w:rStyle w:val="apple-style-span"/>
          <w:color w:val="000000"/>
          <w:sz w:val="24"/>
          <w:szCs w:val="24"/>
        </w:rPr>
        <w:t xml:space="preserve">  These allegations may be distinguished from the previously discussed cases </w:t>
      </w:r>
      <w:r w:rsidR="00813416">
        <w:rPr>
          <w:rStyle w:val="apple-style-span"/>
          <w:color w:val="000000"/>
          <w:sz w:val="24"/>
          <w:szCs w:val="24"/>
        </w:rPr>
        <w:t xml:space="preserve">in that the actions complained of, migration of waste from the </w:t>
      </w:r>
      <w:proofErr w:type="spellStart"/>
      <w:r w:rsidR="00813416">
        <w:rPr>
          <w:rStyle w:val="apple-style-span"/>
          <w:color w:val="000000"/>
          <w:sz w:val="24"/>
          <w:szCs w:val="24"/>
        </w:rPr>
        <w:t>Mauel</w:t>
      </w:r>
      <w:proofErr w:type="spellEnd"/>
      <w:r w:rsidR="00813416">
        <w:rPr>
          <w:rStyle w:val="apple-style-span"/>
          <w:color w:val="000000"/>
          <w:sz w:val="24"/>
          <w:szCs w:val="24"/>
        </w:rPr>
        <w:t xml:space="preserve"> property, has not abated.  </w:t>
      </w:r>
    </w:p>
    <w:p w:rsidR="00AF28DA" w:rsidRDefault="00AF28DA" w:rsidP="00280242">
      <w:pPr>
        <w:spacing w:line="480" w:lineRule="auto"/>
        <w:ind w:firstLine="720"/>
        <w:rPr>
          <w:rStyle w:val="apple-style-span"/>
          <w:color w:val="000000"/>
          <w:sz w:val="24"/>
          <w:szCs w:val="24"/>
        </w:rPr>
      </w:pPr>
      <w:r>
        <w:rPr>
          <w:rStyle w:val="apple-style-span"/>
          <w:color w:val="000000"/>
          <w:sz w:val="24"/>
          <w:szCs w:val="24"/>
        </w:rPr>
        <w:t>This case is more similar to</w:t>
      </w:r>
      <w:r w:rsidR="00BF2B73">
        <w:rPr>
          <w:rStyle w:val="apple-style-span"/>
          <w:color w:val="000000"/>
          <w:sz w:val="24"/>
          <w:szCs w:val="24"/>
        </w:rPr>
        <w:t xml:space="preserve"> cases</w:t>
      </w:r>
      <w:r>
        <w:rPr>
          <w:rStyle w:val="apple-style-span"/>
          <w:color w:val="000000"/>
          <w:sz w:val="24"/>
          <w:szCs w:val="24"/>
        </w:rPr>
        <w:t xml:space="preserve"> in which the Court found that remaining presence of garbage on plaintiff’s land constituted a continuing trespass “so long as the offending object remains.”</w:t>
      </w:r>
      <w:r w:rsidR="00BF2B73">
        <w:rPr>
          <w:rStyle w:val="apple-style-span"/>
          <w:color w:val="000000"/>
          <w:sz w:val="24"/>
          <w:szCs w:val="24"/>
        </w:rPr>
        <w:t xml:space="preserve">  </w:t>
      </w:r>
      <w:proofErr w:type="spellStart"/>
      <w:proofErr w:type="gramStart"/>
      <w:r w:rsidR="00BF2B73">
        <w:rPr>
          <w:rStyle w:val="apple-style-span"/>
          <w:i/>
          <w:color w:val="000000"/>
          <w:sz w:val="24"/>
          <w:szCs w:val="24"/>
        </w:rPr>
        <w:t>Patout</w:t>
      </w:r>
      <w:proofErr w:type="spellEnd"/>
      <w:r w:rsidR="00BF2B73">
        <w:rPr>
          <w:rStyle w:val="apple-style-span"/>
          <w:i/>
          <w:color w:val="000000"/>
          <w:sz w:val="24"/>
          <w:szCs w:val="24"/>
        </w:rPr>
        <w:t xml:space="preserve"> v. City of New Iberia</w:t>
      </w:r>
      <w:r w:rsidR="00BF2B73">
        <w:rPr>
          <w:rStyle w:val="apple-style-span"/>
          <w:color w:val="000000"/>
          <w:sz w:val="24"/>
          <w:szCs w:val="24"/>
        </w:rPr>
        <w:t>, 2001-0151 (</w:t>
      </w:r>
      <w:proofErr w:type="spellStart"/>
      <w:r w:rsidR="00BF2B73">
        <w:rPr>
          <w:rStyle w:val="apple-style-span"/>
          <w:color w:val="000000"/>
          <w:sz w:val="24"/>
          <w:szCs w:val="24"/>
        </w:rPr>
        <w:t>La.App</w:t>
      </w:r>
      <w:proofErr w:type="spellEnd"/>
      <w:r w:rsidR="00BF2B73">
        <w:rPr>
          <w:rStyle w:val="apple-style-span"/>
          <w:color w:val="000000"/>
          <w:sz w:val="24"/>
          <w:szCs w:val="24"/>
        </w:rPr>
        <w:t>. 3 Cir. 4/3/02); 813 So.2d 1248, 1250.</w:t>
      </w:r>
      <w:proofErr w:type="gramEnd"/>
      <w:r>
        <w:rPr>
          <w:rStyle w:val="apple-style-span"/>
          <w:color w:val="000000"/>
          <w:sz w:val="24"/>
          <w:szCs w:val="24"/>
        </w:rPr>
        <w:t xml:space="preserve">  </w:t>
      </w:r>
      <w:r w:rsidR="00465A0D">
        <w:rPr>
          <w:rStyle w:val="apple-style-span"/>
          <w:color w:val="000000"/>
          <w:sz w:val="24"/>
          <w:szCs w:val="24"/>
        </w:rPr>
        <w:t xml:space="preserve">The continued flooding of plaintiff’s land due to “constant interference” with drainage has been held to constitute a continuing tort.  </w:t>
      </w:r>
      <w:proofErr w:type="gramStart"/>
      <w:r w:rsidR="008949DB">
        <w:rPr>
          <w:rStyle w:val="apple-style-span"/>
          <w:i/>
          <w:color w:val="000000"/>
          <w:sz w:val="24"/>
          <w:szCs w:val="24"/>
        </w:rPr>
        <w:t>Cooper v. Louisiana Department of Public Works</w:t>
      </w:r>
      <w:r w:rsidR="008949DB">
        <w:rPr>
          <w:rStyle w:val="apple-style-span"/>
          <w:color w:val="000000"/>
          <w:sz w:val="24"/>
          <w:szCs w:val="24"/>
        </w:rPr>
        <w:t>, 2003-1074 (La. App. 3 Cir. 3/3/04); 870 So.2d 315.</w:t>
      </w:r>
      <w:proofErr w:type="gramEnd"/>
      <w:r w:rsidR="008949DB">
        <w:rPr>
          <w:rStyle w:val="apple-style-span"/>
          <w:color w:val="000000"/>
          <w:sz w:val="24"/>
          <w:szCs w:val="24"/>
        </w:rPr>
        <w:t xml:space="preserve">  </w:t>
      </w:r>
      <w:r w:rsidR="000A519A">
        <w:rPr>
          <w:rStyle w:val="apple-style-span"/>
          <w:color w:val="000000"/>
          <w:sz w:val="24"/>
          <w:szCs w:val="24"/>
        </w:rPr>
        <w:t xml:space="preserve">In </w:t>
      </w:r>
      <w:r w:rsidR="000A519A">
        <w:rPr>
          <w:rStyle w:val="apple-style-span"/>
          <w:i/>
          <w:color w:val="000000"/>
          <w:sz w:val="24"/>
          <w:szCs w:val="24"/>
        </w:rPr>
        <w:t>South Central Bell Telephone</w:t>
      </w:r>
      <w:r w:rsidR="000A519A">
        <w:rPr>
          <w:rStyle w:val="apple-style-span"/>
          <w:color w:val="000000"/>
          <w:sz w:val="24"/>
          <w:szCs w:val="24"/>
        </w:rPr>
        <w:t xml:space="preserve"> the Court found, and the Supreme Court later upheld, that the operating cause was the leaking storage tank and that prescription began to run when the tanks were replaced.  </w:t>
      </w:r>
      <w:proofErr w:type="gramStart"/>
      <w:r w:rsidR="000A519A">
        <w:rPr>
          <w:rStyle w:val="apple-style-span"/>
          <w:i/>
          <w:color w:val="000000"/>
          <w:sz w:val="24"/>
          <w:szCs w:val="24"/>
        </w:rPr>
        <w:t>Hogg, supra.</w:t>
      </w:r>
      <w:proofErr w:type="gramEnd"/>
      <w:r w:rsidR="000A519A">
        <w:rPr>
          <w:rStyle w:val="apple-style-span"/>
          <w:i/>
          <w:color w:val="000000"/>
          <w:sz w:val="24"/>
          <w:szCs w:val="24"/>
        </w:rPr>
        <w:t xml:space="preserve"> </w:t>
      </w:r>
      <w:proofErr w:type="gramStart"/>
      <w:r w:rsidR="000A519A">
        <w:rPr>
          <w:rStyle w:val="apple-style-span"/>
          <w:color w:val="000000"/>
          <w:sz w:val="24"/>
          <w:szCs w:val="24"/>
        </w:rPr>
        <w:t>at</w:t>
      </w:r>
      <w:proofErr w:type="gramEnd"/>
      <w:r w:rsidR="000A519A">
        <w:rPr>
          <w:rStyle w:val="apple-style-span"/>
          <w:color w:val="000000"/>
          <w:sz w:val="24"/>
          <w:szCs w:val="24"/>
        </w:rPr>
        <w:t xml:space="preserve"> 1004.  </w:t>
      </w:r>
      <w:r w:rsidR="00D32639">
        <w:rPr>
          <w:rStyle w:val="apple-style-span"/>
          <w:color w:val="000000"/>
          <w:sz w:val="24"/>
          <w:szCs w:val="24"/>
        </w:rPr>
        <w:t xml:space="preserve">In </w:t>
      </w:r>
      <w:r w:rsidR="00D32639">
        <w:rPr>
          <w:rStyle w:val="apple-style-span"/>
          <w:i/>
          <w:color w:val="000000"/>
          <w:sz w:val="24"/>
          <w:szCs w:val="24"/>
        </w:rPr>
        <w:t xml:space="preserve">Hogg, Marin </w:t>
      </w:r>
      <w:r w:rsidR="00D32639">
        <w:rPr>
          <w:rStyle w:val="apple-style-span"/>
          <w:color w:val="000000"/>
          <w:sz w:val="24"/>
          <w:szCs w:val="24"/>
        </w:rPr>
        <w:t xml:space="preserve">and </w:t>
      </w:r>
      <w:r w:rsidR="00D32639">
        <w:rPr>
          <w:rStyle w:val="apple-style-span"/>
          <w:i/>
          <w:color w:val="000000"/>
          <w:sz w:val="24"/>
          <w:szCs w:val="24"/>
        </w:rPr>
        <w:t>Wagoner</w:t>
      </w:r>
      <w:r w:rsidR="00D32639">
        <w:rPr>
          <w:rStyle w:val="apple-style-span"/>
          <w:color w:val="000000"/>
          <w:sz w:val="24"/>
          <w:szCs w:val="24"/>
        </w:rPr>
        <w:t xml:space="preserve">, the Courts found that prescription ran until the leakage ceased.  </w:t>
      </w:r>
      <w:r w:rsidR="000A519A">
        <w:rPr>
          <w:rStyle w:val="apple-style-span"/>
          <w:color w:val="000000"/>
          <w:sz w:val="24"/>
          <w:szCs w:val="24"/>
        </w:rPr>
        <w:t xml:space="preserve">Similarly, in this case the </w:t>
      </w:r>
      <w:r w:rsidR="008C5850">
        <w:rPr>
          <w:rStyle w:val="apple-style-span"/>
          <w:color w:val="000000"/>
          <w:sz w:val="24"/>
          <w:szCs w:val="24"/>
        </w:rPr>
        <w:t xml:space="preserve">depositing or migration of shingles onto the </w:t>
      </w:r>
      <w:proofErr w:type="spellStart"/>
      <w:r w:rsidR="008C5850">
        <w:rPr>
          <w:rStyle w:val="apple-style-span"/>
          <w:color w:val="000000"/>
          <w:sz w:val="24"/>
          <w:szCs w:val="24"/>
        </w:rPr>
        <w:t>Muslow</w:t>
      </w:r>
      <w:proofErr w:type="spellEnd"/>
      <w:r w:rsidR="008C5850">
        <w:rPr>
          <w:rStyle w:val="apple-style-span"/>
          <w:color w:val="000000"/>
          <w:sz w:val="24"/>
          <w:szCs w:val="24"/>
        </w:rPr>
        <w:t xml:space="preserve"> property </w:t>
      </w:r>
      <w:r w:rsidR="000A519A">
        <w:rPr>
          <w:rStyle w:val="apple-style-span"/>
          <w:color w:val="000000"/>
          <w:sz w:val="24"/>
          <w:szCs w:val="24"/>
        </w:rPr>
        <w:t xml:space="preserve">(analogous to the leaking in groundwater contamination cases) has not ceased or abated.  </w:t>
      </w:r>
    </w:p>
    <w:p w:rsidR="001353FE" w:rsidRDefault="00F476C6" w:rsidP="007A4E81">
      <w:pPr>
        <w:spacing w:line="480" w:lineRule="auto"/>
        <w:ind w:firstLine="720"/>
        <w:rPr>
          <w:rStyle w:val="apple-style-span"/>
          <w:color w:val="000000"/>
          <w:sz w:val="24"/>
          <w:szCs w:val="24"/>
        </w:rPr>
      </w:pPr>
      <w:r>
        <w:rPr>
          <w:rStyle w:val="apple-style-span"/>
          <w:color w:val="000000"/>
          <w:sz w:val="24"/>
          <w:szCs w:val="24"/>
        </w:rPr>
        <w:t xml:space="preserve">In conclusion, this Court finds that there exists a genuine issue of material fact concerning when </w:t>
      </w:r>
      <w:proofErr w:type="spellStart"/>
      <w:r>
        <w:rPr>
          <w:rStyle w:val="apple-style-span"/>
          <w:color w:val="000000"/>
          <w:sz w:val="24"/>
          <w:szCs w:val="24"/>
        </w:rPr>
        <w:t>Muslow</w:t>
      </w:r>
      <w:proofErr w:type="spellEnd"/>
      <w:r>
        <w:rPr>
          <w:rStyle w:val="apple-style-span"/>
          <w:color w:val="000000"/>
          <w:sz w:val="24"/>
          <w:szCs w:val="24"/>
        </w:rPr>
        <w:t xml:space="preserve"> gained actual or constructive knowledge of the encroachment from the </w:t>
      </w:r>
    </w:p>
    <w:p w:rsidR="00280242" w:rsidRPr="007A4E81" w:rsidRDefault="00F476C6" w:rsidP="001353FE">
      <w:pPr>
        <w:spacing w:line="480" w:lineRule="auto"/>
        <w:rPr>
          <w:color w:val="000000"/>
          <w:sz w:val="24"/>
          <w:szCs w:val="24"/>
        </w:rPr>
      </w:pPr>
      <w:proofErr w:type="gramStart"/>
      <w:r>
        <w:rPr>
          <w:rStyle w:val="apple-style-span"/>
          <w:color w:val="000000"/>
          <w:sz w:val="24"/>
          <w:szCs w:val="24"/>
        </w:rPr>
        <w:lastRenderedPageBreak/>
        <w:t>Manuel property.</w:t>
      </w:r>
      <w:proofErr w:type="gramEnd"/>
      <w:r>
        <w:rPr>
          <w:rStyle w:val="apple-style-span"/>
          <w:color w:val="000000"/>
          <w:sz w:val="24"/>
          <w:szCs w:val="24"/>
        </w:rPr>
        <w:t xml:space="preserve">  Bird relies solely upon the testimony of Mr. Bozeman, who is unsure of when or what he told Mr. </w:t>
      </w:r>
      <w:proofErr w:type="spellStart"/>
      <w:r>
        <w:rPr>
          <w:rStyle w:val="apple-style-span"/>
          <w:color w:val="000000"/>
          <w:sz w:val="24"/>
          <w:szCs w:val="24"/>
        </w:rPr>
        <w:t>Muslow</w:t>
      </w:r>
      <w:proofErr w:type="spellEnd"/>
      <w:r>
        <w:rPr>
          <w:rStyle w:val="apple-style-span"/>
          <w:color w:val="000000"/>
          <w:sz w:val="24"/>
          <w:szCs w:val="24"/>
        </w:rPr>
        <w:t xml:space="preserve">.  This </w:t>
      </w:r>
      <w:r w:rsidR="007A4E81">
        <w:rPr>
          <w:rStyle w:val="apple-style-span"/>
          <w:color w:val="000000"/>
          <w:sz w:val="24"/>
          <w:szCs w:val="24"/>
        </w:rPr>
        <w:t>testimony cannot be corroborated</w:t>
      </w:r>
      <w:r>
        <w:rPr>
          <w:rStyle w:val="apple-style-span"/>
          <w:color w:val="000000"/>
          <w:sz w:val="24"/>
          <w:szCs w:val="24"/>
        </w:rPr>
        <w:t xml:space="preserve"> </w:t>
      </w:r>
      <w:r w:rsidR="007A4E81">
        <w:rPr>
          <w:rStyle w:val="apple-style-span"/>
          <w:color w:val="000000"/>
          <w:sz w:val="24"/>
          <w:szCs w:val="24"/>
        </w:rPr>
        <w:t xml:space="preserve">because the only other party to the alleged conversation is deceased.  Further, there exists a genuine issue of material fact as to whether the encroachment onto the </w:t>
      </w:r>
      <w:proofErr w:type="spellStart"/>
      <w:r w:rsidR="007A4E81">
        <w:rPr>
          <w:rStyle w:val="apple-style-span"/>
          <w:color w:val="000000"/>
          <w:sz w:val="24"/>
          <w:szCs w:val="24"/>
        </w:rPr>
        <w:t>Muslow</w:t>
      </w:r>
      <w:proofErr w:type="spellEnd"/>
      <w:r w:rsidR="007A4E81">
        <w:rPr>
          <w:rStyle w:val="apple-style-span"/>
          <w:color w:val="000000"/>
          <w:sz w:val="24"/>
          <w:szCs w:val="24"/>
        </w:rPr>
        <w:t xml:space="preserve"> property continues or has abated.  </w:t>
      </w:r>
      <w:r w:rsidR="0082080C">
        <w:rPr>
          <w:rStyle w:val="apple-style-span"/>
          <w:color w:val="000000"/>
          <w:sz w:val="24"/>
          <w:szCs w:val="24"/>
        </w:rPr>
        <w:t>Mr. Bozeman’s report and the findings of the surveyor differ as to the amount of encroachment, which indicates that the migration from the Manuel property continues</w:t>
      </w:r>
      <w:r w:rsidR="00A10733">
        <w:rPr>
          <w:rStyle w:val="apple-style-span"/>
          <w:color w:val="000000"/>
          <w:sz w:val="24"/>
          <w:szCs w:val="24"/>
        </w:rPr>
        <w:t>, thereby constituting a continuing tort.</w:t>
      </w:r>
      <w:r w:rsidR="001353FE">
        <w:rPr>
          <w:rStyle w:val="apple-style-span"/>
          <w:color w:val="000000"/>
          <w:sz w:val="24"/>
          <w:szCs w:val="24"/>
        </w:rPr>
        <w:t xml:space="preserve">  Clearly, the movers are not entitled to </w:t>
      </w:r>
      <w:r w:rsidR="002D746B">
        <w:rPr>
          <w:rStyle w:val="apple-style-span"/>
          <w:color w:val="000000"/>
          <w:sz w:val="24"/>
          <w:szCs w:val="24"/>
        </w:rPr>
        <w:t xml:space="preserve">summary </w:t>
      </w:r>
      <w:bookmarkStart w:id="0" w:name="_GoBack"/>
      <w:bookmarkEnd w:id="0"/>
      <w:r w:rsidR="001353FE">
        <w:rPr>
          <w:rStyle w:val="apple-style-span"/>
          <w:color w:val="000000"/>
          <w:sz w:val="24"/>
          <w:szCs w:val="24"/>
        </w:rPr>
        <w:t>judgment as a matter of law.</w:t>
      </w:r>
    </w:p>
    <w:p w:rsidR="004C493E" w:rsidRDefault="004C493E" w:rsidP="004C493E">
      <w:pPr>
        <w:spacing w:line="480" w:lineRule="auto"/>
        <w:ind w:firstLine="720"/>
        <w:rPr>
          <w:sz w:val="24"/>
          <w:szCs w:val="24"/>
        </w:rPr>
      </w:pPr>
      <w:r>
        <w:rPr>
          <w:sz w:val="24"/>
          <w:szCs w:val="24"/>
        </w:rPr>
        <w:t>For reasons assigned, the Court concludes that</w:t>
      </w:r>
      <w:r w:rsidRPr="00B8039B">
        <w:rPr>
          <w:sz w:val="24"/>
          <w:szCs w:val="24"/>
        </w:rPr>
        <w:t xml:space="preserve"> </w:t>
      </w:r>
      <w:r w:rsidR="001353FE">
        <w:rPr>
          <w:sz w:val="24"/>
          <w:szCs w:val="24"/>
        </w:rPr>
        <w:t>both m</w:t>
      </w:r>
      <w:r w:rsidR="00E7719F">
        <w:rPr>
          <w:sz w:val="24"/>
          <w:szCs w:val="24"/>
        </w:rPr>
        <w:t xml:space="preserve">otions for </w:t>
      </w:r>
      <w:r w:rsidR="001353FE">
        <w:rPr>
          <w:sz w:val="24"/>
          <w:szCs w:val="24"/>
        </w:rPr>
        <w:t>s</w:t>
      </w:r>
      <w:r w:rsidR="00E7719F">
        <w:rPr>
          <w:sz w:val="24"/>
          <w:szCs w:val="24"/>
        </w:rPr>
        <w:t xml:space="preserve">ummary </w:t>
      </w:r>
      <w:r w:rsidR="001353FE">
        <w:rPr>
          <w:sz w:val="24"/>
          <w:szCs w:val="24"/>
        </w:rPr>
        <w:t>j</w:t>
      </w:r>
      <w:r w:rsidR="00E7719F">
        <w:rPr>
          <w:sz w:val="24"/>
          <w:szCs w:val="24"/>
        </w:rPr>
        <w:t>udgment should be denied</w:t>
      </w:r>
      <w:r>
        <w:rPr>
          <w:sz w:val="24"/>
          <w:szCs w:val="24"/>
        </w:rPr>
        <w:t xml:space="preserve">.  </w:t>
      </w:r>
    </w:p>
    <w:p w:rsidR="001353FE" w:rsidRDefault="001353FE" w:rsidP="004C493E">
      <w:pPr>
        <w:spacing w:line="480" w:lineRule="auto"/>
        <w:ind w:firstLine="720"/>
        <w:rPr>
          <w:sz w:val="24"/>
          <w:szCs w:val="24"/>
        </w:rPr>
      </w:pPr>
      <w:r>
        <w:rPr>
          <w:sz w:val="24"/>
          <w:szCs w:val="24"/>
        </w:rPr>
        <w:t>Counsel shall submit formal Judgment in accordance with La. Dist. Ct. R. 9.5.</w:t>
      </w:r>
    </w:p>
    <w:p w:rsidR="004C493E" w:rsidRDefault="004C493E" w:rsidP="001353FE">
      <w:pPr>
        <w:spacing w:line="480" w:lineRule="auto"/>
        <w:ind w:firstLine="720"/>
        <w:rPr>
          <w:sz w:val="24"/>
          <w:szCs w:val="24"/>
        </w:rPr>
      </w:pPr>
      <w:r>
        <w:rPr>
          <w:sz w:val="24"/>
          <w:szCs w:val="24"/>
        </w:rPr>
        <w:t>Signed th</w:t>
      </w:r>
      <w:r w:rsidR="00B80470">
        <w:rPr>
          <w:sz w:val="24"/>
          <w:szCs w:val="24"/>
        </w:rPr>
        <w:t xml:space="preserve">is </w:t>
      </w:r>
      <w:r w:rsidR="001353FE">
        <w:rPr>
          <w:sz w:val="24"/>
          <w:szCs w:val="24"/>
        </w:rPr>
        <w:t>27</w:t>
      </w:r>
      <w:r w:rsidR="001353FE" w:rsidRPr="001353FE">
        <w:rPr>
          <w:sz w:val="24"/>
          <w:szCs w:val="24"/>
          <w:vertAlign w:val="superscript"/>
        </w:rPr>
        <w:t>th</w:t>
      </w:r>
      <w:r w:rsidR="001353FE">
        <w:rPr>
          <w:sz w:val="24"/>
          <w:szCs w:val="24"/>
        </w:rPr>
        <w:t xml:space="preserve"> </w:t>
      </w:r>
      <w:r w:rsidR="00B80470">
        <w:rPr>
          <w:sz w:val="24"/>
          <w:szCs w:val="24"/>
        </w:rPr>
        <w:t xml:space="preserve">day of </w:t>
      </w:r>
      <w:r w:rsidR="000F3845">
        <w:rPr>
          <w:sz w:val="24"/>
          <w:szCs w:val="24"/>
        </w:rPr>
        <w:t>April</w:t>
      </w:r>
      <w:r w:rsidR="00B80470">
        <w:rPr>
          <w:sz w:val="24"/>
          <w:szCs w:val="24"/>
        </w:rPr>
        <w:t xml:space="preserve"> 2011</w:t>
      </w:r>
      <w:r>
        <w:rPr>
          <w:sz w:val="24"/>
          <w:szCs w:val="24"/>
        </w:rPr>
        <w:t xml:space="preserve"> in Shreveport, Caddo Parish, </w:t>
      </w:r>
      <w:proofErr w:type="gramStart"/>
      <w:r>
        <w:rPr>
          <w:sz w:val="24"/>
          <w:szCs w:val="24"/>
        </w:rPr>
        <w:t>Louisiana</w:t>
      </w:r>
      <w:proofErr w:type="gramEnd"/>
      <w:r>
        <w:rPr>
          <w:sz w:val="24"/>
          <w:szCs w:val="24"/>
        </w:rPr>
        <w:t>.</w:t>
      </w:r>
    </w:p>
    <w:p w:rsidR="004C493E" w:rsidRDefault="004C493E" w:rsidP="004C493E">
      <w:pPr>
        <w:spacing w:line="480" w:lineRule="auto"/>
        <w:rPr>
          <w:sz w:val="24"/>
          <w:szCs w:val="24"/>
        </w:rPr>
      </w:pPr>
    </w:p>
    <w:p w:rsidR="004C493E" w:rsidRDefault="004C493E" w:rsidP="004C493E">
      <w:pPr>
        <w:rPr>
          <w:sz w:val="24"/>
          <w:szCs w:val="24"/>
        </w:rPr>
      </w:pPr>
      <w:r>
        <w:rPr>
          <w:sz w:val="24"/>
          <w:szCs w:val="24"/>
        </w:rPr>
        <w:tab/>
      </w:r>
      <w:r>
        <w:rPr>
          <w:sz w:val="24"/>
          <w:szCs w:val="24"/>
        </w:rPr>
        <w:tab/>
      </w:r>
      <w:r w:rsidR="001353FE">
        <w:rPr>
          <w:sz w:val="24"/>
          <w:szCs w:val="24"/>
        </w:rPr>
        <w:tab/>
      </w:r>
      <w:r>
        <w:rPr>
          <w:sz w:val="24"/>
          <w:szCs w:val="24"/>
        </w:rPr>
        <w:tab/>
      </w:r>
      <w:r>
        <w:rPr>
          <w:sz w:val="24"/>
          <w:szCs w:val="24"/>
        </w:rPr>
        <w:tab/>
      </w:r>
      <w:r>
        <w:rPr>
          <w:sz w:val="24"/>
          <w:szCs w:val="24"/>
        </w:rPr>
        <w:tab/>
      </w:r>
      <w:r>
        <w:rPr>
          <w:sz w:val="24"/>
          <w:szCs w:val="24"/>
        </w:rPr>
        <w:tab/>
        <w:t>____________________________</w:t>
      </w:r>
    </w:p>
    <w:p w:rsidR="004C493E" w:rsidRDefault="004C493E" w:rsidP="004C493E">
      <w:pPr>
        <w:rPr>
          <w:sz w:val="24"/>
          <w:szCs w:val="24"/>
        </w:rPr>
      </w:pPr>
      <w:r>
        <w:rPr>
          <w:sz w:val="24"/>
          <w:szCs w:val="24"/>
        </w:rPr>
        <w:tab/>
      </w:r>
      <w:r>
        <w:rPr>
          <w:sz w:val="24"/>
          <w:szCs w:val="24"/>
        </w:rPr>
        <w:tab/>
      </w:r>
      <w:r>
        <w:rPr>
          <w:sz w:val="24"/>
          <w:szCs w:val="24"/>
        </w:rPr>
        <w:tab/>
      </w:r>
      <w:r w:rsidR="001353FE">
        <w:rPr>
          <w:sz w:val="24"/>
          <w:szCs w:val="24"/>
        </w:rPr>
        <w:tab/>
      </w:r>
      <w:r>
        <w:rPr>
          <w:sz w:val="24"/>
          <w:szCs w:val="24"/>
        </w:rPr>
        <w:tab/>
      </w:r>
      <w:r>
        <w:rPr>
          <w:sz w:val="24"/>
          <w:szCs w:val="24"/>
        </w:rPr>
        <w:tab/>
      </w:r>
      <w:r>
        <w:rPr>
          <w:sz w:val="24"/>
          <w:szCs w:val="24"/>
        </w:rPr>
        <w:tab/>
        <w:t xml:space="preserve">        SCOTT J. CRICHTON</w:t>
      </w:r>
    </w:p>
    <w:p w:rsidR="004C493E" w:rsidRDefault="004C493E" w:rsidP="004C493E">
      <w:pPr>
        <w:rPr>
          <w:sz w:val="24"/>
          <w:szCs w:val="24"/>
        </w:rPr>
      </w:pPr>
      <w:r>
        <w:rPr>
          <w:sz w:val="24"/>
          <w:szCs w:val="24"/>
        </w:rPr>
        <w:t xml:space="preserve">                                                </w:t>
      </w:r>
      <w:r w:rsidR="001353FE">
        <w:rPr>
          <w:sz w:val="24"/>
          <w:szCs w:val="24"/>
        </w:rPr>
        <w:tab/>
      </w:r>
      <w:r>
        <w:rPr>
          <w:sz w:val="24"/>
          <w:szCs w:val="24"/>
        </w:rPr>
        <w:t xml:space="preserve">                                  DISTRICT JUDGE</w:t>
      </w:r>
    </w:p>
    <w:p w:rsidR="004C493E" w:rsidRDefault="004C493E" w:rsidP="004C493E">
      <w:pPr>
        <w:spacing w:line="480" w:lineRule="auto"/>
        <w:rPr>
          <w:sz w:val="24"/>
          <w:szCs w:val="24"/>
        </w:rPr>
      </w:pPr>
    </w:p>
    <w:p w:rsidR="001353FE" w:rsidRDefault="001353FE" w:rsidP="004C493E">
      <w:pPr>
        <w:spacing w:line="480" w:lineRule="auto"/>
        <w:rPr>
          <w:sz w:val="24"/>
          <w:szCs w:val="24"/>
        </w:rPr>
      </w:pPr>
    </w:p>
    <w:p w:rsidR="00944BC9" w:rsidRDefault="00944BC9" w:rsidP="00944BC9">
      <w:pPr>
        <w:spacing w:line="480" w:lineRule="auto"/>
        <w:rPr>
          <w:sz w:val="24"/>
          <w:szCs w:val="24"/>
        </w:rPr>
      </w:pPr>
      <w:r>
        <w:rPr>
          <w:sz w:val="24"/>
          <w:szCs w:val="24"/>
          <w:u w:val="single"/>
        </w:rPr>
        <w:t>DISTRIBUTION</w:t>
      </w:r>
      <w:r>
        <w:rPr>
          <w:sz w:val="24"/>
          <w:szCs w:val="24"/>
        </w:rPr>
        <w:t>:</w:t>
      </w:r>
    </w:p>
    <w:p w:rsidR="005D30E9" w:rsidRDefault="005D30E9" w:rsidP="005D30E9">
      <w:pPr>
        <w:rPr>
          <w:sz w:val="24"/>
          <w:szCs w:val="24"/>
        </w:rPr>
      </w:pPr>
      <w:r>
        <w:rPr>
          <w:sz w:val="24"/>
          <w:szCs w:val="24"/>
        </w:rPr>
        <w:t xml:space="preserve">Guy Wall and John Frazier, counsel for </w:t>
      </w:r>
      <w:proofErr w:type="spellStart"/>
      <w:r>
        <w:rPr>
          <w:sz w:val="24"/>
          <w:szCs w:val="24"/>
        </w:rPr>
        <w:t>Muslow</w:t>
      </w:r>
      <w:proofErr w:type="spellEnd"/>
      <w:r>
        <w:rPr>
          <w:sz w:val="24"/>
          <w:szCs w:val="24"/>
        </w:rPr>
        <w:t xml:space="preserve"> Oil and Gas, Inc.</w:t>
      </w:r>
    </w:p>
    <w:p w:rsidR="005D30E9" w:rsidRDefault="005D30E9" w:rsidP="005D30E9">
      <w:pPr>
        <w:rPr>
          <w:sz w:val="24"/>
          <w:szCs w:val="24"/>
        </w:rPr>
      </w:pPr>
      <w:r>
        <w:rPr>
          <w:sz w:val="24"/>
          <w:szCs w:val="24"/>
        </w:rPr>
        <w:t>Kenneth Henke</w:t>
      </w:r>
      <w:r w:rsidR="001353FE">
        <w:rPr>
          <w:sz w:val="24"/>
          <w:szCs w:val="24"/>
        </w:rPr>
        <w:t xml:space="preserve"> and Lawrence Marino</w:t>
      </w:r>
      <w:r>
        <w:rPr>
          <w:sz w:val="24"/>
          <w:szCs w:val="24"/>
        </w:rPr>
        <w:t>, counsel for Louisiana Department of Transportation and Development</w:t>
      </w:r>
    </w:p>
    <w:p w:rsidR="005D30E9" w:rsidRDefault="005D30E9" w:rsidP="005D30E9">
      <w:pPr>
        <w:rPr>
          <w:sz w:val="24"/>
          <w:szCs w:val="24"/>
        </w:rPr>
      </w:pPr>
      <w:r>
        <w:rPr>
          <w:sz w:val="24"/>
          <w:szCs w:val="24"/>
        </w:rPr>
        <w:t>Al Hand and Jason Green, counsel for Bird, Inc.</w:t>
      </w:r>
      <w:r w:rsidR="001353FE">
        <w:rPr>
          <w:sz w:val="24"/>
          <w:szCs w:val="24"/>
        </w:rPr>
        <w:t xml:space="preserve">, </w:t>
      </w:r>
      <w:proofErr w:type="spellStart"/>
      <w:r w:rsidR="001353FE">
        <w:rPr>
          <w:sz w:val="24"/>
          <w:szCs w:val="24"/>
        </w:rPr>
        <w:t>Certainteed</w:t>
      </w:r>
      <w:proofErr w:type="spellEnd"/>
      <w:r w:rsidR="001353FE">
        <w:rPr>
          <w:sz w:val="24"/>
          <w:szCs w:val="24"/>
        </w:rPr>
        <w:t xml:space="preserve"> Corporation, GS Roofing Products Company, Inc. and Saint </w:t>
      </w:r>
      <w:proofErr w:type="spellStart"/>
      <w:r w:rsidR="001353FE">
        <w:rPr>
          <w:sz w:val="24"/>
          <w:szCs w:val="24"/>
        </w:rPr>
        <w:t>Gobain</w:t>
      </w:r>
      <w:proofErr w:type="spellEnd"/>
      <w:r w:rsidR="001353FE">
        <w:rPr>
          <w:sz w:val="24"/>
          <w:szCs w:val="24"/>
        </w:rPr>
        <w:t xml:space="preserve"> Corporation.</w:t>
      </w:r>
    </w:p>
    <w:p w:rsidR="005D30E9" w:rsidRDefault="005D30E9" w:rsidP="005D30E9">
      <w:pPr>
        <w:rPr>
          <w:sz w:val="24"/>
          <w:szCs w:val="24"/>
        </w:rPr>
      </w:pPr>
      <w:r>
        <w:rPr>
          <w:sz w:val="24"/>
          <w:szCs w:val="24"/>
        </w:rPr>
        <w:t>Byron Richie, counsel for Rosalie Manuel</w:t>
      </w:r>
    </w:p>
    <w:p w:rsidR="00944BC9" w:rsidRDefault="00944BC9" w:rsidP="00944BC9">
      <w:pPr>
        <w:rPr>
          <w:sz w:val="24"/>
          <w:szCs w:val="24"/>
        </w:rPr>
      </w:pPr>
    </w:p>
    <w:p w:rsidR="004C493E" w:rsidRPr="003E406E" w:rsidRDefault="004C493E">
      <w:pPr>
        <w:rPr>
          <w:sz w:val="24"/>
          <w:szCs w:val="24"/>
        </w:rPr>
      </w:pPr>
    </w:p>
    <w:sectPr w:rsidR="004C493E" w:rsidRPr="003E406E" w:rsidSect="004C493E">
      <w:footerReference w:type="default" r:id="rId8"/>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AE" w:rsidRDefault="004A38AE" w:rsidP="00FB4668">
      <w:r>
        <w:separator/>
      </w:r>
    </w:p>
  </w:endnote>
  <w:endnote w:type="continuationSeparator" w:id="0">
    <w:p w:rsidR="004A38AE" w:rsidRDefault="004A38AE" w:rsidP="00FB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95918"/>
      <w:docPartObj>
        <w:docPartGallery w:val="Page Numbers (Bottom of Page)"/>
        <w:docPartUnique/>
      </w:docPartObj>
    </w:sdtPr>
    <w:sdtEndPr>
      <w:rPr>
        <w:noProof/>
      </w:rPr>
    </w:sdtEndPr>
    <w:sdtContent>
      <w:p w:rsidR="001353FE" w:rsidRDefault="001353FE">
        <w:pPr>
          <w:pStyle w:val="Footer"/>
          <w:jc w:val="center"/>
        </w:pPr>
        <w:r>
          <w:t xml:space="preserve">Page </w:t>
        </w:r>
        <w:r>
          <w:fldChar w:fldCharType="begin"/>
        </w:r>
        <w:r>
          <w:instrText xml:space="preserve"> PAGE   \* MERGEFORMAT </w:instrText>
        </w:r>
        <w:r>
          <w:fldChar w:fldCharType="separate"/>
        </w:r>
        <w:r w:rsidR="002D746B">
          <w:rPr>
            <w:noProof/>
          </w:rPr>
          <w:t>5</w:t>
        </w:r>
        <w:r>
          <w:rPr>
            <w:noProof/>
          </w:rPr>
          <w:fldChar w:fldCharType="end"/>
        </w:r>
      </w:p>
    </w:sdtContent>
  </w:sdt>
  <w:p w:rsidR="001353FE" w:rsidRDefault="00135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AE" w:rsidRDefault="004A38AE" w:rsidP="00FB4668">
      <w:r>
        <w:separator/>
      </w:r>
    </w:p>
  </w:footnote>
  <w:footnote w:type="continuationSeparator" w:id="0">
    <w:p w:rsidR="004A38AE" w:rsidRDefault="004A38AE" w:rsidP="00FB4668">
      <w:r>
        <w:continuationSeparator/>
      </w:r>
    </w:p>
  </w:footnote>
  <w:footnote w:id="1">
    <w:p w:rsidR="00B56136" w:rsidRDefault="00B56136">
      <w:pPr>
        <w:pStyle w:val="FootnoteText"/>
      </w:pPr>
      <w:r>
        <w:rPr>
          <w:rStyle w:val="FootnoteReference"/>
        </w:rPr>
        <w:footnoteRef/>
      </w:r>
      <w:r>
        <w:t xml:space="preserve"> Bozeman </w:t>
      </w:r>
      <w:proofErr w:type="spellStart"/>
      <w:r>
        <w:t>Depo</w:t>
      </w:r>
      <w:proofErr w:type="spellEnd"/>
      <w:r>
        <w:t>, pg. 18, line 11</w:t>
      </w:r>
    </w:p>
  </w:footnote>
  <w:footnote w:id="2">
    <w:p w:rsidR="00B56136" w:rsidRDefault="00B56136">
      <w:pPr>
        <w:pStyle w:val="FootnoteText"/>
      </w:pPr>
      <w:r>
        <w:rPr>
          <w:rStyle w:val="FootnoteReference"/>
        </w:rPr>
        <w:footnoteRef/>
      </w:r>
      <w:r>
        <w:t xml:space="preserve"> Bozeman </w:t>
      </w:r>
      <w:proofErr w:type="spellStart"/>
      <w:r>
        <w:t>Depo</w:t>
      </w:r>
      <w:proofErr w:type="spellEnd"/>
      <w:r>
        <w:t>, pg. 19, line 1-2</w:t>
      </w:r>
    </w:p>
  </w:footnote>
  <w:footnote w:id="3">
    <w:p w:rsidR="000F10FB" w:rsidRDefault="000F10FB" w:rsidP="000F10FB">
      <w:pPr>
        <w:pStyle w:val="FootnoteText"/>
      </w:pPr>
      <w:r>
        <w:rPr>
          <w:rStyle w:val="FootnoteReference"/>
        </w:rPr>
        <w:footnoteRef/>
      </w:r>
      <w:r>
        <w:t xml:space="preserve"> Weiss </w:t>
      </w:r>
      <w:proofErr w:type="spellStart"/>
      <w:r>
        <w:t>Depo</w:t>
      </w:r>
      <w:proofErr w:type="spellEnd"/>
      <w:r>
        <w:t>, pg. 12, lines3-6</w:t>
      </w:r>
    </w:p>
  </w:footnote>
  <w:footnote w:id="4">
    <w:p w:rsidR="000F10FB" w:rsidRDefault="000F10FB" w:rsidP="000F10FB">
      <w:pPr>
        <w:pStyle w:val="FootnoteText"/>
      </w:pPr>
      <w:r>
        <w:rPr>
          <w:rStyle w:val="FootnoteReference"/>
        </w:rPr>
        <w:footnoteRef/>
      </w:r>
      <w:r>
        <w:t xml:space="preserve"> Bowman </w:t>
      </w:r>
      <w:proofErr w:type="spellStart"/>
      <w:r>
        <w:t>Depo</w:t>
      </w:r>
      <w:proofErr w:type="spellEnd"/>
      <w:r>
        <w:t>, pg. 8, line 11</w:t>
      </w:r>
    </w:p>
  </w:footnote>
  <w:footnote w:id="5">
    <w:p w:rsidR="000F10FB" w:rsidRDefault="000F10FB" w:rsidP="000F10FB">
      <w:pPr>
        <w:pStyle w:val="FootnoteText"/>
      </w:pPr>
      <w:r>
        <w:rPr>
          <w:rStyle w:val="FootnoteReference"/>
        </w:rPr>
        <w:footnoteRef/>
      </w:r>
      <w:r>
        <w:t xml:space="preserve"> Bowman </w:t>
      </w:r>
      <w:proofErr w:type="spellStart"/>
      <w:r>
        <w:t>Depo</w:t>
      </w:r>
      <w:proofErr w:type="spellEnd"/>
      <w:r>
        <w:t>, pg. 14, line 13</w:t>
      </w:r>
    </w:p>
  </w:footnote>
  <w:footnote w:id="6">
    <w:p w:rsidR="000F10FB" w:rsidRDefault="000F10FB" w:rsidP="000F10FB">
      <w:pPr>
        <w:pStyle w:val="FootnoteText"/>
      </w:pPr>
      <w:r>
        <w:rPr>
          <w:rStyle w:val="FootnoteReference"/>
        </w:rPr>
        <w:footnoteRef/>
      </w:r>
      <w:r>
        <w:t xml:space="preserve"> Bozeman </w:t>
      </w:r>
      <w:proofErr w:type="spellStart"/>
      <w:r>
        <w:t>Depo</w:t>
      </w:r>
      <w:proofErr w:type="spellEnd"/>
      <w:r>
        <w:t>, pg. 28, line 11</w:t>
      </w:r>
    </w:p>
  </w:footnote>
  <w:footnote w:id="7">
    <w:p w:rsidR="00DD7AEE" w:rsidRDefault="00DD7AEE" w:rsidP="00DD7AEE">
      <w:pPr>
        <w:pStyle w:val="FootnoteText"/>
      </w:pPr>
      <w:r>
        <w:rPr>
          <w:rStyle w:val="FootnoteReference"/>
        </w:rPr>
        <w:footnoteRef/>
      </w:r>
      <w:r>
        <w:t xml:space="preserve"> </w:t>
      </w:r>
      <w:proofErr w:type="spellStart"/>
      <w:r>
        <w:t>Jorden</w:t>
      </w:r>
      <w:proofErr w:type="spellEnd"/>
      <w:r>
        <w:t xml:space="preserve"> Testimony, Hearing Transcript, pg.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D178F"/>
    <w:multiLevelType w:val="hybridMultilevel"/>
    <w:tmpl w:val="D6562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6E"/>
    <w:rsid w:val="000057F8"/>
    <w:rsid w:val="00043328"/>
    <w:rsid w:val="00073487"/>
    <w:rsid w:val="00090AAC"/>
    <w:rsid w:val="00093C39"/>
    <w:rsid w:val="00097CAA"/>
    <w:rsid w:val="000A519A"/>
    <w:rsid w:val="000F10FB"/>
    <w:rsid w:val="000F3845"/>
    <w:rsid w:val="00101EEC"/>
    <w:rsid w:val="00124608"/>
    <w:rsid w:val="001353FE"/>
    <w:rsid w:val="001375D5"/>
    <w:rsid w:val="00141858"/>
    <w:rsid w:val="00142E91"/>
    <w:rsid w:val="00150E0F"/>
    <w:rsid w:val="00176B96"/>
    <w:rsid w:val="001865AD"/>
    <w:rsid w:val="001B3E2F"/>
    <w:rsid w:val="001D701B"/>
    <w:rsid w:val="001E1F5D"/>
    <w:rsid w:val="001E7694"/>
    <w:rsid w:val="001F0B07"/>
    <w:rsid w:val="001F5181"/>
    <w:rsid w:val="00232C84"/>
    <w:rsid w:val="002628D2"/>
    <w:rsid w:val="0027180F"/>
    <w:rsid w:val="002733CF"/>
    <w:rsid w:val="00280242"/>
    <w:rsid w:val="002D206D"/>
    <w:rsid w:val="002D746B"/>
    <w:rsid w:val="002E4A03"/>
    <w:rsid w:val="003445D7"/>
    <w:rsid w:val="003809CE"/>
    <w:rsid w:val="00381D0C"/>
    <w:rsid w:val="00385667"/>
    <w:rsid w:val="00391633"/>
    <w:rsid w:val="003A1723"/>
    <w:rsid w:val="003A2A62"/>
    <w:rsid w:val="003A5813"/>
    <w:rsid w:val="003B4A1A"/>
    <w:rsid w:val="003E406E"/>
    <w:rsid w:val="003F0598"/>
    <w:rsid w:val="004001E6"/>
    <w:rsid w:val="00435ED3"/>
    <w:rsid w:val="00465A0D"/>
    <w:rsid w:val="004A38AE"/>
    <w:rsid w:val="004A6D40"/>
    <w:rsid w:val="004A71EA"/>
    <w:rsid w:val="004B0BAF"/>
    <w:rsid w:val="004B7AEE"/>
    <w:rsid w:val="004C1115"/>
    <w:rsid w:val="004C493E"/>
    <w:rsid w:val="004F269F"/>
    <w:rsid w:val="004F2AEF"/>
    <w:rsid w:val="004F4BAA"/>
    <w:rsid w:val="005036B3"/>
    <w:rsid w:val="00510782"/>
    <w:rsid w:val="005215D1"/>
    <w:rsid w:val="005B4C8D"/>
    <w:rsid w:val="005C79A9"/>
    <w:rsid w:val="005D30E9"/>
    <w:rsid w:val="005D6AF6"/>
    <w:rsid w:val="00631471"/>
    <w:rsid w:val="00635D90"/>
    <w:rsid w:val="00664B99"/>
    <w:rsid w:val="006A078D"/>
    <w:rsid w:val="006A2599"/>
    <w:rsid w:val="006E337D"/>
    <w:rsid w:val="006E44FB"/>
    <w:rsid w:val="006E5030"/>
    <w:rsid w:val="006F71A3"/>
    <w:rsid w:val="00712A6F"/>
    <w:rsid w:val="00714FA5"/>
    <w:rsid w:val="007317ED"/>
    <w:rsid w:val="00735A25"/>
    <w:rsid w:val="00753C93"/>
    <w:rsid w:val="007653AA"/>
    <w:rsid w:val="007A4E81"/>
    <w:rsid w:val="007A5F7F"/>
    <w:rsid w:val="007C5891"/>
    <w:rsid w:val="007F3A05"/>
    <w:rsid w:val="00813416"/>
    <w:rsid w:val="0082080C"/>
    <w:rsid w:val="00826C63"/>
    <w:rsid w:val="00834028"/>
    <w:rsid w:val="00836352"/>
    <w:rsid w:val="00845A43"/>
    <w:rsid w:val="00851B1F"/>
    <w:rsid w:val="0086012A"/>
    <w:rsid w:val="00860DDD"/>
    <w:rsid w:val="008738C9"/>
    <w:rsid w:val="008949DB"/>
    <w:rsid w:val="00895574"/>
    <w:rsid w:val="00897DBD"/>
    <w:rsid w:val="008A514A"/>
    <w:rsid w:val="008A5522"/>
    <w:rsid w:val="008B4DB1"/>
    <w:rsid w:val="008B6FBE"/>
    <w:rsid w:val="008C5850"/>
    <w:rsid w:val="008F07D8"/>
    <w:rsid w:val="008F289D"/>
    <w:rsid w:val="00912E3C"/>
    <w:rsid w:val="00944BC9"/>
    <w:rsid w:val="00947310"/>
    <w:rsid w:val="00951224"/>
    <w:rsid w:val="00976F85"/>
    <w:rsid w:val="00983BC2"/>
    <w:rsid w:val="009C0CC6"/>
    <w:rsid w:val="00A06322"/>
    <w:rsid w:val="00A10733"/>
    <w:rsid w:val="00A1479F"/>
    <w:rsid w:val="00A1692E"/>
    <w:rsid w:val="00A50FAB"/>
    <w:rsid w:val="00A97D6A"/>
    <w:rsid w:val="00AB4D5B"/>
    <w:rsid w:val="00AC0925"/>
    <w:rsid w:val="00AD61F7"/>
    <w:rsid w:val="00AE7FC0"/>
    <w:rsid w:val="00AF28DA"/>
    <w:rsid w:val="00AF3257"/>
    <w:rsid w:val="00AF4F92"/>
    <w:rsid w:val="00B005DC"/>
    <w:rsid w:val="00B0614C"/>
    <w:rsid w:val="00B113B4"/>
    <w:rsid w:val="00B21166"/>
    <w:rsid w:val="00B40401"/>
    <w:rsid w:val="00B56136"/>
    <w:rsid w:val="00B80470"/>
    <w:rsid w:val="00B94252"/>
    <w:rsid w:val="00BC5899"/>
    <w:rsid w:val="00BD0165"/>
    <w:rsid w:val="00BD261A"/>
    <w:rsid w:val="00BD5913"/>
    <w:rsid w:val="00BF0096"/>
    <w:rsid w:val="00BF02FE"/>
    <w:rsid w:val="00BF2B73"/>
    <w:rsid w:val="00BF6944"/>
    <w:rsid w:val="00C01267"/>
    <w:rsid w:val="00C207C8"/>
    <w:rsid w:val="00C4054E"/>
    <w:rsid w:val="00C6680F"/>
    <w:rsid w:val="00C675F0"/>
    <w:rsid w:val="00CC6F6A"/>
    <w:rsid w:val="00CD2B44"/>
    <w:rsid w:val="00CF2B98"/>
    <w:rsid w:val="00D32639"/>
    <w:rsid w:val="00D437A3"/>
    <w:rsid w:val="00D72B14"/>
    <w:rsid w:val="00D77B97"/>
    <w:rsid w:val="00DB4CAA"/>
    <w:rsid w:val="00DD5665"/>
    <w:rsid w:val="00DD6E60"/>
    <w:rsid w:val="00DD7AEE"/>
    <w:rsid w:val="00DE6CF8"/>
    <w:rsid w:val="00E15B9D"/>
    <w:rsid w:val="00E42ED3"/>
    <w:rsid w:val="00E45088"/>
    <w:rsid w:val="00E5352F"/>
    <w:rsid w:val="00E57076"/>
    <w:rsid w:val="00E7719F"/>
    <w:rsid w:val="00EB399F"/>
    <w:rsid w:val="00EB5194"/>
    <w:rsid w:val="00ED0F46"/>
    <w:rsid w:val="00EE0A82"/>
    <w:rsid w:val="00F40214"/>
    <w:rsid w:val="00F44072"/>
    <w:rsid w:val="00F45626"/>
    <w:rsid w:val="00F46AAD"/>
    <w:rsid w:val="00F476C6"/>
    <w:rsid w:val="00F831BC"/>
    <w:rsid w:val="00F94334"/>
    <w:rsid w:val="00F97767"/>
    <w:rsid w:val="00FB4668"/>
    <w:rsid w:val="00FD6FFB"/>
    <w:rsid w:val="00FF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5AD"/>
    <w:rPr>
      <w:rFonts w:ascii="Tahoma" w:hAnsi="Tahoma" w:cs="Tahoma"/>
      <w:sz w:val="16"/>
      <w:szCs w:val="16"/>
    </w:rPr>
  </w:style>
  <w:style w:type="character" w:customStyle="1" w:styleId="BalloonTextChar">
    <w:name w:val="Balloon Text Char"/>
    <w:basedOn w:val="DefaultParagraphFont"/>
    <w:link w:val="BalloonText"/>
    <w:uiPriority w:val="99"/>
    <w:semiHidden/>
    <w:rsid w:val="001865AD"/>
    <w:rPr>
      <w:rFonts w:ascii="Tahoma" w:hAnsi="Tahoma" w:cs="Tahoma"/>
      <w:b w:val="0"/>
      <w:sz w:val="16"/>
      <w:szCs w:val="16"/>
    </w:rPr>
  </w:style>
  <w:style w:type="paragraph" w:styleId="FootnoteText">
    <w:name w:val="footnote text"/>
    <w:basedOn w:val="Normal"/>
    <w:link w:val="FootnoteTextChar"/>
    <w:uiPriority w:val="99"/>
    <w:semiHidden/>
    <w:unhideWhenUsed/>
    <w:rsid w:val="00FB4668"/>
  </w:style>
  <w:style w:type="character" w:customStyle="1" w:styleId="FootnoteTextChar">
    <w:name w:val="Footnote Text Char"/>
    <w:basedOn w:val="DefaultParagraphFont"/>
    <w:link w:val="FootnoteText"/>
    <w:uiPriority w:val="99"/>
    <w:semiHidden/>
    <w:rsid w:val="00FB4668"/>
    <w:rPr>
      <w:rFonts w:ascii="Times New Roman" w:hAnsi="Times New Roman" w:cs="Times New Roman"/>
      <w:b w:val="0"/>
      <w:sz w:val="20"/>
    </w:rPr>
  </w:style>
  <w:style w:type="character" w:styleId="FootnoteReference">
    <w:name w:val="footnote reference"/>
    <w:basedOn w:val="DefaultParagraphFont"/>
    <w:uiPriority w:val="99"/>
    <w:semiHidden/>
    <w:unhideWhenUsed/>
    <w:rsid w:val="00FB4668"/>
    <w:rPr>
      <w:vertAlign w:val="superscript"/>
    </w:rPr>
  </w:style>
  <w:style w:type="paragraph" w:styleId="ListParagraph">
    <w:name w:val="List Paragraph"/>
    <w:basedOn w:val="Normal"/>
    <w:uiPriority w:val="34"/>
    <w:qFormat/>
    <w:rsid w:val="00B40401"/>
    <w:pPr>
      <w:ind w:left="720"/>
      <w:contextualSpacing/>
    </w:pPr>
  </w:style>
  <w:style w:type="character" w:customStyle="1" w:styleId="apple-style-span">
    <w:name w:val="apple-style-span"/>
    <w:basedOn w:val="DefaultParagraphFont"/>
    <w:rsid w:val="00AF4F92"/>
  </w:style>
  <w:style w:type="paragraph" w:styleId="Header">
    <w:name w:val="header"/>
    <w:basedOn w:val="Normal"/>
    <w:link w:val="HeaderChar"/>
    <w:uiPriority w:val="99"/>
    <w:unhideWhenUsed/>
    <w:rsid w:val="001353FE"/>
    <w:pPr>
      <w:tabs>
        <w:tab w:val="center" w:pos="4680"/>
        <w:tab w:val="right" w:pos="9360"/>
      </w:tabs>
    </w:pPr>
  </w:style>
  <w:style w:type="character" w:customStyle="1" w:styleId="HeaderChar">
    <w:name w:val="Header Char"/>
    <w:basedOn w:val="DefaultParagraphFont"/>
    <w:link w:val="Header"/>
    <w:uiPriority w:val="99"/>
    <w:rsid w:val="001353FE"/>
    <w:rPr>
      <w:rFonts w:ascii="Times New Roman" w:hAnsi="Times New Roman" w:cs="Times New Roman"/>
      <w:b w:val="0"/>
      <w:sz w:val="20"/>
    </w:rPr>
  </w:style>
  <w:style w:type="paragraph" w:styleId="Footer">
    <w:name w:val="footer"/>
    <w:basedOn w:val="Normal"/>
    <w:link w:val="FooterChar"/>
    <w:uiPriority w:val="99"/>
    <w:unhideWhenUsed/>
    <w:rsid w:val="001353FE"/>
    <w:pPr>
      <w:tabs>
        <w:tab w:val="center" w:pos="4680"/>
        <w:tab w:val="right" w:pos="9360"/>
      </w:tabs>
    </w:pPr>
  </w:style>
  <w:style w:type="character" w:customStyle="1" w:styleId="FooterChar">
    <w:name w:val="Footer Char"/>
    <w:basedOn w:val="DefaultParagraphFont"/>
    <w:link w:val="Footer"/>
    <w:uiPriority w:val="99"/>
    <w:rsid w:val="001353FE"/>
    <w:rPr>
      <w:rFonts w:ascii="Times New Roman" w:hAnsi="Times New Roman" w:cs="Times New Roman"/>
      <w:b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5AD"/>
    <w:rPr>
      <w:rFonts w:ascii="Tahoma" w:hAnsi="Tahoma" w:cs="Tahoma"/>
      <w:sz w:val="16"/>
      <w:szCs w:val="16"/>
    </w:rPr>
  </w:style>
  <w:style w:type="character" w:customStyle="1" w:styleId="BalloonTextChar">
    <w:name w:val="Balloon Text Char"/>
    <w:basedOn w:val="DefaultParagraphFont"/>
    <w:link w:val="BalloonText"/>
    <w:uiPriority w:val="99"/>
    <w:semiHidden/>
    <w:rsid w:val="001865AD"/>
    <w:rPr>
      <w:rFonts w:ascii="Tahoma" w:hAnsi="Tahoma" w:cs="Tahoma"/>
      <w:b w:val="0"/>
      <w:sz w:val="16"/>
      <w:szCs w:val="16"/>
    </w:rPr>
  </w:style>
  <w:style w:type="paragraph" w:styleId="FootnoteText">
    <w:name w:val="footnote text"/>
    <w:basedOn w:val="Normal"/>
    <w:link w:val="FootnoteTextChar"/>
    <w:uiPriority w:val="99"/>
    <w:semiHidden/>
    <w:unhideWhenUsed/>
    <w:rsid w:val="00FB4668"/>
  </w:style>
  <w:style w:type="character" w:customStyle="1" w:styleId="FootnoteTextChar">
    <w:name w:val="Footnote Text Char"/>
    <w:basedOn w:val="DefaultParagraphFont"/>
    <w:link w:val="FootnoteText"/>
    <w:uiPriority w:val="99"/>
    <w:semiHidden/>
    <w:rsid w:val="00FB4668"/>
    <w:rPr>
      <w:rFonts w:ascii="Times New Roman" w:hAnsi="Times New Roman" w:cs="Times New Roman"/>
      <w:b w:val="0"/>
      <w:sz w:val="20"/>
    </w:rPr>
  </w:style>
  <w:style w:type="character" w:styleId="FootnoteReference">
    <w:name w:val="footnote reference"/>
    <w:basedOn w:val="DefaultParagraphFont"/>
    <w:uiPriority w:val="99"/>
    <w:semiHidden/>
    <w:unhideWhenUsed/>
    <w:rsid w:val="00FB4668"/>
    <w:rPr>
      <w:vertAlign w:val="superscript"/>
    </w:rPr>
  </w:style>
  <w:style w:type="paragraph" w:styleId="ListParagraph">
    <w:name w:val="List Paragraph"/>
    <w:basedOn w:val="Normal"/>
    <w:uiPriority w:val="34"/>
    <w:qFormat/>
    <w:rsid w:val="00B40401"/>
    <w:pPr>
      <w:ind w:left="720"/>
      <w:contextualSpacing/>
    </w:pPr>
  </w:style>
  <w:style w:type="character" w:customStyle="1" w:styleId="apple-style-span">
    <w:name w:val="apple-style-span"/>
    <w:basedOn w:val="DefaultParagraphFont"/>
    <w:rsid w:val="00AF4F92"/>
  </w:style>
  <w:style w:type="paragraph" w:styleId="Header">
    <w:name w:val="header"/>
    <w:basedOn w:val="Normal"/>
    <w:link w:val="HeaderChar"/>
    <w:uiPriority w:val="99"/>
    <w:unhideWhenUsed/>
    <w:rsid w:val="001353FE"/>
    <w:pPr>
      <w:tabs>
        <w:tab w:val="center" w:pos="4680"/>
        <w:tab w:val="right" w:pos="9360"/>
      </w:tabs>
    </w:pPr>
  </w:style>
  <w:style w:type="character" w:customStyle="1" w:styleId="HeaderChar">
    <w:name w:val="Header Char"/>
    <w:basedOn w:val="DefaultParagraphFont"/>
    <w:link w:val="Header"/>
    <w:uiPriority w:val="99"/>
    <w:rsid w:val="001353FE"/>
    <w:rPr>
      <w:rFonts w:ascii="Times New Roman" w:hAnsi="Times New Roman" w:cs="Times New Roman"/>
      <w:b w:val="0"/>
      <w:sz w:val="20"/>
    </w:rPr>
  </w:style>
  <w:style w:type="paragraph" w:styleId="Footer">
    <w:name w:val="footer"/>
    <w:basedOn w:val="Normal"/>
    <w:link w:val="FooterChar"/>
    <w:uiPriority w:val="99"/>
    <w:unhideWhenUsed/>
    <w:rsid w:val="001353FE"/>
    <w:pPr>
      <w:tabs>
        <w:tab w:val="center" w:pos="4680"/>
        <w:tab w:val="right" w:pos="9360"/>
      </w:tabs>
    </w:pPr>
  </w:style>
  <w:style w:type="character" w:customStyle="1" w:styleId="FooterChar">
    <w:name w:val="Footer Char"/>
    <w:basedOn w:val="DefaultParagraphFont"/>
    <w:link w:val="Footer"/>
    <w:uiPriority w:val="99"/>
    <w:rsid w:val="001353FE"/>
    <w:rPr>
      <w:rFonts w:ascii="Times New Roman" w:hAnsi="Times New Roman" w:cs="Times New Roman"/>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9049">
      <w:bodyDiv w:val="1"/>
      <w:marLeft w:val="0"/>
      <w:marRight w:val="0"/>
      <w:marTop w:val="0"/>
      <w:marBottom w:val="0"/>
      <w:divBdr>
        <w:top w:val="none" w:sz="0" w:space="0" w:color="auto"/>
        <w:left w:val="none" w:sz="0" w:space="0" w:color="auto"/>
        <w:bottom w:val="none" w:sz="0" w:space="0" w:color="auto"/>
        <w:right w:val="none" w:sz="0" w:space="0" w:color="auto"/>
      </w:divBdr>
    </w:div>
    <w:div w:id="5010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2011-04-27T19:56:00Z</cp:lastPrinted>
  <dcterms:created xsi:type="dcterms:W3CDTF">2011-04-27T14:14:00Z</dcterms:created>
  <dcterms:modified xsi:type="dcterms:W3CDTF">2011-04-27T19:56:00Z</dcterms:modified>
</cp:coreProperties>
</file>