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C86FD0">
      <w:bookmarkStart w:id="0" w:name="_GoBack"/>
      <w:bookmarkEnd w:id="0"/>
      <w:r>
        <w:t xml:space="preserve">SUSAN KATHERINE </w:t>
      </w:r>
      <w:proofErr w:type="gramStart"/>
      <w:r>
        <w:t>SHAVIN,</w:t>
      </w:r>
      <w:r>
        <w:tab/>
      </w:r>
      <w:r>
        <w:tab/>
      </w:r>
      <w:r>
        <w:tab/>
        <w:t>:</w:t>
      </w:r>
      <w:proofErr w:type="gramEnd"/>
      <w:r>
        <w:t xml:space="preserve">  NUMBER:  524,540</w:t>
      </w:r>
    </w:p>
    <w:p w:rsidR="00C86FD0" w:rsidRDefault="00C86FD0">
      <w:r>
        <w:t>ROBIN PHILLIP SHAVIN,</w:t>
      </w:r>
    </w:p>
    <w:p w:rsidR="00C86FD0" w:rsidRDefault="00C86FD0">
      <w:r>
        <w:t>WALTER EDWARD LIEBER,</w:t>
      </w:r>
    </w:p>
    <w:p w:rsidR="00C86FD0" w:rsidRDefault="00C86FD0">
      <w:r>
        <w:t>CAROLYN L. CASS, RENEE LIEBER,</w:t>
      </w:r>
    </w:p>
    <w:p w:rsidR="00C86FD0" w:rsidRDefault="00C86FD0">
      <w:r>
        <w:t>LEAH EVE L. HARRELL, EMILY</w:t>
      </w:r>
    </w:p>
    <w:p w:rsidR="00C86FD0" w:rsidRDefault="00C86FD0">
      <w:r>
        <w:t>L.  GILMAN AND GARY L. FOX</w:t>
      </w:r>
    </w:p>
    <w:p w:rsidR="00C86FD0" w:rsidRDefault="00C86FD0"/>
    <w:p w:rsidR="00C86FD0" w:rsidRDefault="00C86FD0">
      <w:r>
        <w:t>VERSUS</w:t>
      </w:r>
      <w:r>
        <w:tab/>
      </w:r>
      <w:r>
        <w:tab/>
      </w:r>
      <w:r>
        <w:tab/>
      </w:r>
      <w:r>
        <w:tab/>
      </w:r>
      <w:r>
        <w:tab/>
      </w:r>
      <w:r>
        <w:tab/>
        <w:t>:  FIRST JUDICIAL DISTRICT COURT</w:t>
      </w:r>
    </w:p>
    <w:p w:rsidR="00C86FD0" w:rsidRDefault="00C86FD0"/>
    <w:p w:rsidR="00C86FD0" w:rsidRDefault="00C86FD0">
      <w:r>
        <w:t>GERALD H. HUDDLESTON, GLEN</w:t>
      </w:r>
    </w:p>
    <w:p w:rsidR="00C86FD0" w:rsidRDefault="00C86FD0">
      <w:r>
        <w:t>CUMMER, ROBSON FARMS, L.L.C.,</w:t>
      </w:r>
    </w:p>
    <w:p w:rsidR="00C86FD0" w:rsidRDefault="00C86FD0">
      <w:r>
        <w:t>CAMTERRA RESOURCES PARTNERS,</w:t>
      </w:r>
    </w:p>
    <w:p w:rsidR="00C86FD0" w:rsidRDefault="00C86FD0">
      <w:r>
        <w:t>LTD., HUDDLESTON ENERGY</w:t>
      </w:r>
    </w:p>
    <w:p w:rsidR="00C86FD0" w:rsidRDefault="00C86FD0">
      <w:r>
        <w:t>RESERVES, LLC, SNJ ENERGY, LLC,</w:t>
      </w:r>
    </w:p>
    <w:p w:rsidR="00C86FD0" w:rsidRDefault="00C86FD0">
      <w:r>
        <w:t>ISRAEL INVESTMENTS, LLC AND</w:t>
      </w:r>
    </w:p>
    <w:p w:rsidR="00C86FD0" w:rsidRDefault="00C86FD0">
      <w:r>
        <w:t>CSC ENERGY CORP.</w:t>
      </w:r>
      <w:r>
        <w:tab/>
      </w:r>
      <w:r>
        <w:tab/>
      </w:r>
      <w:r>
        <w:tab/>
      </w:r>
      <w:r>
        <w:tab/>
        <w:t>:  CADDO PARISH, LOUISIANA</w:t>
      </w:r>
    </w:p>
    <w:p w:rsidR="00C86FD0" w:rsidRDefault="00C86FD0"/>
    <w:p w:rsidR="00C86FD0" w:rsidRPr="00C86FD0" w:rsidRDefault="00C86FD0" w:rsidP="00C86FD0">
      <w:pPr>
        <w:jc w:val="center"/>
        <w:rPr>
          <w:b/>
          <w:sz w:val="28"/>
          <w:szCs w:val="28"/>
          <w:u w:val="single"/>
        </w:rPr>
      </w:pPr>
      <w:r w:rsidRPr="00C86FD0">
        <w:rPr>
          <w:b/>
          <w:sz w:val="28"/>
          <w:szCs w:val="28"/>
          <w:u w:val="single"/>
        </w:rPr>
        <w:t>JUDGMENT AND REASONS ON PLAINTIFFS’ THIRD</w:t>
      </w:r>
    </w:p>
    <w:p w:rsidR="00C86FD0" w:rsidRDefault="00C86FD0" w:rsidP="00C86FD0">
      <w:pPr>
        <w:jc w:val="center"/>
        <w:rPr>
          <w:b/>
          <w:sz w:val="28"/>
          <w:szCs w:val="28"/>
          <w:u w:val="single"/>
        </w:rPr>
      </w:pPr>
      <w:r w:rsidRPr="00C86FD0">
        <w:rPr>
          <w:b/>
          <w:sz w:val="28"/>
          <w:szCs w:val="28"/>
          <w:u w:val="single"/>
        </w:rPr>
        <w:t>MOTION TO COMPEL DISCOVERY</w:t>
      </w:r>
    </w:p>
    <w:p w:rsidR="00C86FD0" w:rsidRDefault="00C86FD0" w:rsidP="00C86FD0">
      <w:pPr>
        <w:jc w:val="center"/>
        <w:rPr>
          <w:b/>
          <w:sz w:val="28"/>
          <w:szCs w:val="28"/>
          <w:u w:val="single"/>
        </w:rPr>
      </w:pPr>
    </w:p>
    <w:p w:rsidR="00C86FD0" w:rsidRDefault="00C86FD0" w:rsidP="00C86FD0">
      <w:pPr>
        <w:spacing w:line="480" w:lineRule="auto"/>
      </w:pPr>
      <w:r>
        <w:rPr>
          <w:sz w:val="28"/>
          <w:szCs w:val="28"/>
        </w:rPr>
        <w:tab/>
      </w:r>
      <w:r>
        <w:t>Having thoroughly considered the Plaintiffs</w:t>
      </w:r>
      <w:r w:rsidR="003B5A0C">
        <w:t>’,</w:t>
      </w:r>
      <w:r>
        <w:t xml:space="preserve"> Eve L. Harrell, Emily L. Gilman and Renee </w:t>
      </w:r>
      <w:proofErr w:type="spellStart"/>
      <w:r>
        <w:t>Lieber</w:t>
      </w:r>
      <w:proofErr w:type="spellEnd"/>
      <w:r w:rsidR="003B5A0C">
        <w:t>,</w:t>
      </w:r>
      <w:r>
        <w:t xml:space="preserve"> Third Motion </w:t>
      </w:r>
      <w:r w:rsidR="006A5CC2">
        <w:t>t</w:t>
      </w:r>
      <w:r>
        <w:t>o Compel Discovery (filed July 12, 2011)</w:t>
      </w:r>
      <w:r w:rsidR="00D103D8">
        <w:t xml:space="preserve"> by their attorney Lee H. Ayres</w:t>
      </w:r>
      <w:r>
        <w:t xml:space="preserve"> and its exhibits, the opposition</w:t>
      </w:r>
      <w:r w:rsidR="00BC03BB">
        <w:t xml:space="preserve">s by </w:t>
      </w:r>
      <w:r w:rsidR="006A5CC2">
        <w:t xml:space="preserve">defendants, Gerald H. Huddleston, Robson Farms, L.C.C., </w:t>
      </w:r>
      <w:proofErr w:type="spellStart"/>
      <w:r w:rsidR="006A5CC2">
        <w:t>Camterra</w:t>
      </w:r>
      <w:proofErr w:type="spellEnd"/>
      <w:r w:rsidR="006A5CC2">
        <w:t xml:space="preserve"> Resources Partners, Ltd., </w:t>
      </w:r>
      <w:proofErr w:type="spellStart"/>
      <w:r w:rsidR="006A5CC2">
        <w:t>Camterra</w:t>
      </w:r>
      <w:proofErr w:type="spellEnd"/>
      <w:r w:rsidR="006A5CC2">
        <w:t xml:space="preserve"> Resources, Inc., Huddleston Energy Reserves, LLC, Huddleston Oil &amp; Gas, LLC, SNJ Energy, LLC, Israel Investments, LLC and CSC Energy Corp., the oral arguments of October 17, 2011, the post hearing memoranda filed by both sides, applicable law, and for reasons which follow, the Court concludes that the motion should be </w:t>
      </w:r>
      <w:r w:rsidR="00BC03BB">
        <w:t xml:space="preserve">granted in part.  </w:t>
      </w:r>
      <w:r w:rsidR="006A5CC2">
        <w:t>Accordingly:</w:t>
      </w:r>
    </w:p>
    <w:p w:rsidR="006A5CC2" w:rsidRDefault="006A5CC2" w:rsidP="00C86FD0">
      <w:pPr>
        <w:spacing w:line="480" w:lineRule="auto"/>
        <w:rPr>
          <w:b/>
        </w:rPr>
      </w:pPr>
      <w:r>
        <w:tab/>
      </w:r>
      <w:r w:rsidRPr="00BC03BB">
        <w:rPr>
          <w:b/>
        </w:rPr>
        <w:t xml:space="preserve">IT IS ORDERED that the Plaintiffs’ Third Motion </w:t>
      </w:r>
      <w:r w:rsidR="003B5A0C" w:rsidRPr="00BC03BB">
        <w:rPr>
          <w:b/>
        </w:rPr>
        <w:t>t</w:t>
      </w:r>
      <w:r w:rsidRPr="00BC03BB">
        <w:rPr>
          <w:b/>
        </w:rPr>
        <w:t xml:space="preserve">o Compel Discovery is </w:t>
      </w:r>
      <w:r w:rsidR="00BC03BB" w:rsidRPr="00BC03BB">
        <w:rPr>
          <w:b/>
        </w:rPr>
        <w:t xml:space="preserve">granted in part and denied in part. </w:t>
      </w:r>
    </w:p>
    <w:p w:rsidR="00BC03BB" w:rsidRDefault="00BC03BB" w:rsidP="00C86FD0">
      <w:pPr>
        <w:spacing w:line="480" w:lineRule="auto"/>
      </w:pPr>
      <w:r>
        <w:tab/>
        <w:t xml:space="preserve">Although there are excellent lawyers in this case, the Court is troubled by the discovery history which has resulted in the plaintiffs filing this third compel motion.  The record corroborates Mr. Ayres assertions of belated and reluctant document production notwithstanding deposition testimony that there </w:t>
      </w:r>
      <w:proofErr w:type="gramStart"/>
      <w:r>
        <w:t>exists</w:t>
      </w:r>
      <w:proofErr w:type="gramEnd"/>
      <w:r>
        <w:t xml:space="preserve"> more unproduced document</w:t>
      </w:r>
      <w:r w:rsidR="00D103D8">
        <w:t xml:space="preserve">s coupled with a willingness by some to </w:t>
      </w:r>
      <w:r>
        <w:t xml:space="preserve">provide them.  See corporate depositions of Joel </w:t>
      </w:r>
      <w:proofErr w:type="spellStart"/>
      <w:r>
        <w:t>Chevallier</w:t>
      </w:r>
      <w:proofErr w:type="spellEnd"/>
      <w:r>
        <w:t xml:space="preserve">, Jack </w:t>
      </w:r>
      <w:proofErr w:type="spellStart"/>
      <w:r>
        <w:t>Shuey</w:t>
      </w:r>
      <w:proofErr w:type="spellEnd"/>
      <w:r>
        <w:t xml:space="preserve"> and Phillip Israel.  Indeed, the deposition testimony of Jason </w:t>
      </w:r>
      <w:proofErr w:type="spellStart"/>
      <w:r>
        <w:t>Dereberry</w:t>
      </w:r>
      <w:proofErr w:type="spellEnd"/>
      <w:r>
        <w:t xml:space="preserve"> further validates Mr. Ayres’ position </w:t>
      </w:r>
      <w:r w:rsidR="001B2051">
        <w:t xml:space="preserve">notwithstanding </w:t>
      </w:r>
      <w:r>
        <w:t xml:space="preserve">the liberal and broad spirit of the discovery rules </w:t>
      </w:r>
      <w:r w:rsidR="001B2051">
        <w:t>(</w:t>
      </w:r>
      <w:r>
        <w:t xml:space="preserve">“any matter, not privileged which is relevant to the subject matter; information reasonably calculated to lead to the discovery </w:t>
      </w:r>
      <w:r>
        <w:lastRenderedPageBreak/>
        <w:t>of admissible evidence” See C.C.P. art. 1422</w:t>
      </w:r>
      <w:r w:rsidR="001B2051">
        <w:t>)</w:t>
      </w:r>
      <w:r>
        <w:t xml:space="preserve">.  Based on the case history and our discovery law, the </w:t>
      </w:r>
      <w:proofErr w:type="gramStart"/>
      <w:r>
        <w:t>Court  finds</w:t>
      </w:r>
      <w:proofErr w:type="gramEnd"/>
      <w:r>
        <w:t xml:space="preserve"> the following items discoverable in this case: (1) post</w:t>
      </w:r>
      <w:r w:rsidR="00635DA0">
        <w:t>-</w:t>
      </w:r>
      <w:r>
        <w:t xml:space="preserve">closing documents; (2) revenue received by defendants in connection with </w:t>
      </w:r>
      <w:proofErr w:type="spellStart"/>
      <w:r>
        <w:t>Lieber</w:t>
      </w:r>
      <w:proofErr w:type="spellEnd"/>
      <w:r>
        <w:t xml:space="preserve"> tract; (3) </w:t>
      </w:r>
      <w:r w:rsidR="00D103D8">
        <w:t xml:space="preserve">the </w:t>
      </w:r>
      <w:r>
        <w:t>SNJ Energy File, including appraisal reports and title examinations; (4) response to the plaintiffs sixth set of requests for production; and (5) geological maps.</w:t>
      </w:r>
    </w:p>
    <w:p w:rsidR="00BC03BB" w:rsidRDefault="00BC03BB" w:rsidP="00C86FD0">
      <w:pPr>
        <w:spacing w:line="480" w:lineRule="auto"/>
      </w:pPr>
      <w:r>
        <w:tab/>
        <w:t xml:space="preserve">In all situations where defense counsel </w:t>
      </w:r>
      <w:r w:rsidR="00D103D8">
        <w:t xml:space="preserve">has </w:t>
      </w:r>
      <w:r>
        <w:t xml:space="preserve">declined to produce a document on the basis of attorney client privilege, defense counsel </w:t>
      </w:r>
      <w:r w:rsidR="00D103D8">
        <w:t xml:space="preserve">shall </w:t>
      </w:r>
      <w:r>
        <w:t xml:space="preserve">reexamine the issue </w:t>
      </w:r>
      <w:r w:rsidR="00D06711">
        <w:t xml:space="preserve">with the directive that </w:t>
      </w:r>
      <w:r>
        <w:t xml:space="preserve">items that constitute business advice memoranda from in house counsel and related documents be produced.  In the event of further dispute, the Court will conduct an in camera review.  Thus, with respect </w:t>
      </w:r>
      <w:r w:rsidR="00133D46">
        <w:t xml:space="preserve">to </w:t>
      </w:r>
      <w:r>
        <w:t>the documents in this category</w:t>
      </w:r>
      <w:r w:rsidR="00133D46">
        <w:t>,</w:t>
      </w:r>
      <w:r>
        <w:t xml:space="preserve"> the plaintiffs’ third motion to compel is granted in part and denied in part and the obligation is placed on defense counsel for reexamination and</w:t>
      </w:r>
      <w:r w:rsidR="00133D46">
        <w:t>,</w:t>
      </w:r>
      <w:r>
        <w:t xml:space="preserve"> the Court suspects in ma</w:t>
      </w:r>
      <w:r w:rsidR="00133D46">
        <w:t>n</w:t>
      </w:r>
      <w:r w:rsidR="001B2051">
        <w:t>y instances</w:t>
      </w:r>
      <w:r>
        <w:t>, production.</w:t>
      </w:r>
    </w:p>
    <w:p w:rsidR="00133D46" w:rsidRDefault="00133D46" w:rsidP="00C86FD0">
      <w:pPr>
        <w:spacing w:line="480" w:lineRule="auto"/>
      </w:pPr>
      <w:r>
        <w:tab/>
        <w:t xml:space="preserve">Plaintiff counsel’s request for “an award of costs and reasonable attorneys’ fees related to this motion shall be denied </w:t>
      </w:r>
      <w:r>
        <w:rPr>
          <w:u w:val="single"/>
        </w:rPr>
        <w:t>at this time</w:t>
      </w:r>
      <w:r>
        <w:t xml:space="preserve"> as the Court </w:t>
      </w:r>
      <w:r w:rsidR="00D06711">
        <w:t>believes that defense counsel is engaged in aggressive and zealous advocacy</w:t>
      </w:r>
      <w:r w:rsidR="001B2051">
        <w:t xml:space="preserve"> but</w:t>
      </w:r>
      <w:r w:rsidR="00D06711">
        <w:t xml:space="preserve"> not bad faith.</w:t>
      </w:r>
    </w:p>
    <w:p w:rsidR="00133D46" w:rsidRDefault="00133D46" w:rsidP="00C86FD0">
      <w:pPr>
        <w:spacing w:line="480" w:lineRule="auto"/>
      </w:pPr>
      <w:r>
        <w:tab/>
        <w:t>Upon request the Court stands ready to issue a confidentiality or protective order on any of the items ordered to be provided to plaintiff counsel.</w:t>
      </w:r>
    </w:p>
    <w:p w:rsidR="00133D46" w:rsidRDefault="00133D46" w:rsidP="00C86FD0">
      <w:pPr>
        <w:spacing w:line="480" w:lineRule="auto"/>
      </w:pPr>
      <w:r>
        <w:tab/>
        <w:t xml:space="preserve">Signed this </w:t>
      </w:r>
      <w:r w:rsidR="00D06711">
        <w:t>2</w:t>
      </w:r>
      <w:r w:rsidR="00D06711" w:rsidRPr="00D06711">
        <w:rPr>
          <w:vertAlign w:val="superscript"/>
        </w:rPr>
        <w:t>nd</w:t>
      </w:r>
      <w:r w:rsidR="00D06711">
        <w:t xml:space="preserve"> </w:t>
      </w:r>
      <w:r>
        <w:t xml:space="preserve">day of November, 2011 in Shreveport, Caddo Parish, </w:t>
      </w:r>
      <w:proofErr w:type="gramStart"/>
      <w:r>
        <w:t>Louisiana</w:t>
      </w:r>
      <w:proofErr w:type="gramEnd"/>
      <w:r>
        <w:rPr>
          <w:rStyle w:val="FootnoteReference"/>
        </w:rPr>
        <w:footnoteReference w:id="1"/>
      </w:r>
      <w:r>
        <w:t>.</w:t>
      </w:r>
    </w:p>
    <w:p w:rsidR="00133D46" w:rsidRDefault="00133D46" w:rsidP="00133D46"/>
    <w:p w:rsidR="00133D46" w:rsidRDefault="00133D46" w:rsidP="00133D46">
      <w:r>
        <w:tab/>
      </w:r>
      <w:r>
        <w:tab/>
      </w:r>
      <w:r>
        <w:tab/>
      </w:r>
      <w:r>
        <w:tab/>
      </w:r>
      <w:r>
        <w:tab/>
      </w:r>
      <w:r>
        <w:tab/>
      </w:r>
      <w:r>
        <w:tab/>
      </w:r>
      <w:r>
        <w:tab/>
        <w:t>___________________________</w:t>
      </w:r>
    </w:p>
    <w:p w:rsidR="00133D46" w:rsidRPr="00133D46" w:rsidRDefault="00133D46" w:rsidP="00133D46">
      <w:r>
        <w:tab/>
      </w:r>
      <w:r>
        <w:tab/>
      </w:r>
      <w:r>
        <w:tab/>
      </w:r>
      <w:r>
        <w:tab/>
      </w:r>
      <w:r>
        <w:tab/>
      </w:r>
      <w:r>
        <w:tab/>
      </w:r>
      <w:r>
        <w:tab/>
      </w:r>
      <w:r>
        <w:tab/>
        <w:t xml:space="preserve">      SCOTT J. CRICHTON</w:t>
      </w:r>
    </w:p>
    <w:p w:rsidR="006A5CC2" w:rsidRDefault="00133D46" w:rsidP="00C86FD0">
      <w:pPr>
        <w:spacing w:line="480" w:lineRule="auto"/>
      </w:pPr>
      <w:r>
        <w:tab/>
      </w:r>
      <w:r>
        <w:tab/>
      </w:r>
      <w:r>
        <w:tab/>
      </w:r>
      <w:r>
        <w:tab/>
      </w:r>
      <w:r>
        <w:tab/>
      </w:r>
      <w:r>
        <w:tab/>
      </w:r>
      <w:r>
        <w:tab/>
        <w:t xml:space="preserve"> </w:t>
      </w:r>
      <w:r>
        <w:tab/>
        <w:t xml:space="preserve">         DISTRICT JUDGE</w:t>
      </w:r>
    </w:p>
    <w:p w:rsidR="00133D46" w:rsidRDefault="00133D46" w:rsidP="00C86FD0">
      <w:pPr>
        <w:spacing w:line="480" w:lineRule="auto"/>
      </w:pPr>
      <w:r>
        <w:rPr>
          <w:u w:val="single"/>
        </w:rPr>
        <w:t>DISTRIBUTION</w:t>
      </w:r>
      <w:r>
        <w:t>:</w:t>
      </w:r>
    </w:p>
    <w:p w:rsidR="006A5CC2" w:rsidRDefault="006A5CC2" w:rsidP="006A5CC2">
      <w:r>
        <w:t>Lee H. Ayres, Counsel for Lea</w:t>
      </w:r>
      <w:r w:rsidR="00D06711">
        <w:t>h</w:t>
      </w:r>
      <w:r>
        <w:t xml:space="preserve"> Eve </w:t>
      </w:r>
      <w:r w:rsidR="00D06711">
        <w:t xml:space="preserve">L. </w:t>
      </w:r>
      <w:r>
        <w:t xml:space="preserve">Harrell, Emily L. Gilman an </w:t>
      </w:r>
      <w:proofErr w:type="spellStart"/>
      <w:r>
        <w:t>Renea</w:t>
      </w:r>
      <w:proofErr w:type="spellEnd"/>
      <w:r>
        <w:t xml:space="preserve"> </w:t>
      </w:r>
      <w:proofErr w:type="spellStart"/>
      <w:r>
        <w:t>Lieber</w:t>
      </w:r>
      <w:proofErr w:type="spellEnd"/>
    </w:p>
    <w:p w:rsidR="006A5CC2" w:rsidRDefault="006A5CC2" w:rsidP="006A5CC2">
      <w:proofErr w:type="spellStart"/>
      <w:r>
        <w:t>Eron</w:t>
      </w:r>
      <w:proofErr w:type="spellEnd"/>
      <w:r>
        <w:t xml:space="preserve"> J. </w:t>
      </w:r>
      <w:proofErr w:type="spellStart"/>
      <w:r>
        <w:t>Brainard</w:t>
      </w:r>
      <w:proofErr w:type="spellEnd"/>
      <w:r>
        <w:t xml:space="preserve">, Counsel for Susan Katherine </w:t>
      </w:r>
      <w:proofErr w:type="spellStart"/>
      <w:r>
        <w:t>Shavin</w:t>
      </w:r>
      <w:proofErr w:type="spellEnd"/>
      <w:r>
        <w:t xml:space="preserve">, Robin Phillip </w:t>
      </w:r>
      <w:proofErr w:type="spellStart"/>
      <w:r>
        <w:t>Shavin</w:t>
      </w:r>
      <w:proofErr w:type="spellEnd"/>
      <w:r>
        <w:t xml:space="preserve">, Walter Edward </w:t>
      </w:r>
      <w:proofErr w:type="spellStart"/>
      <w:r>
        <w:t>Lieber</w:t>
      </w:r>
      <w:proofErr w:type="spellEnd"/>
      <w:r>
        <w:t>, Carolyn L. Cass and Gary L. Fox</w:t>
      </w:r>
    </w:p>
    <w:p w:rsidR="006A5CC2" w:rsidRDefault="006A5CC2" w:rsidP="006A5CC2">
      <w:r>
        <w:t xml:space="preserve">Steven E. </w:t>
      </w:r>
      <w:proofErr w:type="spellStart"/>
      <w:r>
        <w:t>Soileau</w:t>
      </w:r>
      <w:proofErr w:type="spellEnd"/>
      <w:r>
        <w:t xml:space="preserve">, Counsel for Susan Katherine </w:t>
      </w:r>
      <w:proofErr w:type="spellStart"/>
      <w:r>
        <w:t>Shavin</w:t>
      </w:r>
      <w:proofErr w:type="spellEnd"/>
      <w:r>
        <w:t xml:space="preserve">, Robin Phillip </w:t>
      </w:r>
      <w:proofErr w:type="spellStart"/>
      <w:r>
        <w:t>Shavin</w:t>
      </w:r>
      <w:proofErr w:type="spellEnd"/>
      <w:r>
        <w:t xml:space="preserve">, Walter Edward </w:t>
      </w:r>
      <w:proofErr w:type="spellStart"/>
      <w:r>
        <w:t>Lieber</w:t>
      </w:r>
      <w:proofErr w:type="spellEnd"/>
      <w:r>
        <w:t>, Carolyn L. Cass and Gary L. Fox</w:t>
      </w:r>
    </w:p>
    <w:p w:rsidR="006A5CC2" w:rsidRPr="006A5CC2" w:rsidRDefault="00D06711" w:rsidP="006A5CC2">
      <w:r>
        <w:t xml:space="preserve">Glenn L. Langley, Counsel for Gerald H. Huddleston, Robson Farms, L.L.C., </w:t>
      </w:r>
      <w:proofErr w:type="spellStart"/>
      <w:r>
        <w:t>Camterra</w:t>
      </w:r>
      <w:proofErr w:type="spellEnd"/>
      <w:r>
        <w:t xml:space="preserve"> Resources Partners, LTD, </w:t>
      </w:r>
      <w:proofErr w:type="spellStart"/>
      <w:r>
        <w:t>Camterra</w:t>
      </w:r>
      <w:proofErr w:type="spellEnd"/>
      <w:r>
        <w:t xml:space="preserve"> Resources, Inc., Huddleston Oil and Gas, LLC, Huddleston Energy Reserves, LLC, SNJ Energy, LLC, Israel Investments, LLC and CSC Energy Corp.</w:t>
      </w:r>
    </w:p>
    <w:p w:rsidR="00133D46" w:rsidRPr="00C86FD0" w:rsidRDefault="00133D46" w:rsidP="00133D46">
      <w:pPr>
        <w:rPr>
          <w:sz w:val="28"/>
          <w:szCs w:val="28"/>
          <w:u w:val="single"/>
        </w:rPr>
      </w:pPr>
    </w:p>
    <w:sectPr w:rsidR="00133D46" w:rsidRPr="00C86FD0" w:rsidSect="00C86FD0">
      <w:footerReference w:type="default" r:id="rId8"/>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0B1" w:rsidRDefault="000C60B1" w:rsidP="00133D46">
      <w:r>
        <w:separator/>
      </w:r>
    </w:p>
  </w:endnote>
  <w:endnote w:type="continuationSeparator" w:id="0">
    <w:p w:rsidR="000C60B1" w:rsidRDefault="000C60B1" w:rsidP="0013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909389"/>
      <w:docPartObj>
        <w:docPartGallery w:val="Page Numbers (Bottom of Page)"/>
        <w:docPartUnique/>
      </w:docPartObj>
    </w:sdtPr>
    <w:sdtEndPr>
      <w:rPr>
        <w:noProof/>
      </w:rPr>
    </w:sdtEndPr>
    <w:sdtContent>
      <w:p w:rsidR="001B2051" w:rsidRDefault="001B2051">
        <w:pPr>
          <w:pStyle w:val="Footer"/>
          <w:jc w:val="center"/>
          <w:rPr>
            <w:noProof/>
          </w:rP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2 Pages</w:t>
        </w:r>
      </w:p>
      <w:p w:rsidR="001B2051" w:rsidRDefault="001B2051">
        <w:pPr>
          <w:pStyle w:val="Footer"/>
          <w:jc w:val="center"/>
        </w:pPr>
      </w:p>
    </w:sdtContent>
  </w:sdt>
  <w:p w:rsidR="001B2051" w:rsidRDefault="001B2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0B1" w:rsidRDefault="000C60B1" w:rsidP="00133D46">
      <w:r>
        <w:separator/>
      </w:r>
    </w:p>
  </w:footnote>
  <w:footnote w:type="continuationSeparator" w:id="0">
    <w:p w:rsidR="000C60B1" w:rsidRDefault="000C60B1" w:rsidP="00133D46">
      <w:r>
        <w:continuationSeparator/>
      </w:r>
    </w:p>
  </w:footnote>
  <w:footnote w:id="1">
    <w:p w:rsidR="00133D46" w:rsidRDefault="00133D46">
      <w:pPr>
        <w:pStyle w:val="FootnoteText"/>
      </w:pPr>
      <w:r>
        <w:rPr>
          <w:rStyle w:val="FootnoteReference"/>
        </w:rPr>
        <w:footnoteRef/>
      </w:r>
      <w:r>
        <w:t xml:space="preserve"> It is recognized that defense counsel may wish to seek supervisory review and it is further noted that more time may be necessary for document production and preparation for the November 7, 2011 summary judgment hearings.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D0"/>
    <w:rsid w:val="000C60B1"/>
    <w:rsid w:val="00133D46"/>
    <w:rsid w:val="001B2051"/>
    <w:rsid w:val="002851E4"/>
    <w:rsid w:val="003B5A0C"/>
    <w:rsid w:val="00635DA0"/>
    <w:rsid w:val="006A5CC2"/>
    <w:rsid w:val="007A5F7F"/>
    <w:rsid w:val="00A21CD8"/>
    <w:rsid w:val="00BC03BB"/>
    <w:rsid w:val="00C207C8"/>
    <w:rsid w:val="00C86FD0"/>
    <w:rsid w:val="00D06711"/>
    <w:rsid w:val="00D103D8"/>
    <w:rsid w:val="00D7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CC2"/>
    <w:rPr>
      <w:rFonts w:ascii="Tahoma" w:hAnsi="Tahoma" w:cs="Tahoma"/>
      <w:sz w:val="16"/>
      <w:szCs w:val="16"/>
    </w:rPr>
  </w:style>
  <w:style w:type="character" w:customStyle="1" w:styleId="BalloonTextChar">
    <w:name w:val="Balloon Text Char"/>
    <w:basedOn w:val="DefaultParagraphFont"/>
    <w:link w:val="BalloonText"/>
    <w:uiPriority w:val="99"/>
    <w:semiHidden/>
    <w:rsid w:val="006A5CC2"/>
    <w:rPr>
      <w:rFonts w:ascii="Tahoma" w:hAnsi="Tahoma" w:cs="Tahoma"/>
      <w:sz w:val="16"/>
      <w:szCs w:val="16"/>
    </w:rPr>
  </w:style>
  <w:style w:type="paragraph" w:styleId="FootnoteText">
    <w:name w:val="footnote text"/>
    <w:basedOn w:val="Normal"/>
    <w:link w:val="FootnoteTextChar"/>
    <w:uiPriority w:val="99"/>
    <w:semiHidden/>
    <w:unhideWhenUsed/>
    <w:rsid w:val="00133D46"/>
    <w:rPr>
      <w:sz w:val="20"/>
      <w:szCs w:val="20"/>
    </w:rPr>
  </w:style>
  <w:style w:type="character" w:customStyle="1" w:styleId="FootnoteTextChar">
    <w:name w:val="Footnote Text Char"/>
    <w:basedOn w:val="DefaultParagraphFont"/>
    <w:link w:val="FootnoteText"/>
    <w:uiPriority w:val="99"/>
    <w:semiHidden/>
    <w:rsid w:val="00133D46"/>
    <w:rPr>
      <w:sz w:val="20"/>
      <w:szCs w:val="20"/>
    </w:rPr>
  </w:style>
  <w:style w:type="character" w:styleId="FootnoteReference">
    <w:name w:val="footnote reference"/>
    <w:basedOn w:val="DefaultParagraphFont"/>
    <w:uiPriority w:val="99"/>
    <w:semiHidden/>
    <w:unhideWhenUsed/>
    <w:rsid w:val="00133D46"/>
    <w:rPr>
      <w:vertAlign w:val="superscript"/>
    </w:rPr>
  </w:style>
  <w:style w:type="paragraph" w:styleId="Header">
    <w:name w:val="header"/>
    <w:basedOn w:val="Normal"/>
    <w:link w:val="HeaderChar"/>
    <w:uiPriority w:val="99"/>
    <w:unhideWhenUsed/>
    <w:rsid w:val="001B2051"/>
    <w:pPr>
      <w:tabs>
        <w:tab w:val="center" w:pos="4680"/>
        <w:tab w:val="right" w:pos="9360"/>
      </w:tabs>
    </w:pPr>
  </w:style>
  <w:style w:type="character" w:customStyle="1" w:styleId="HeaderChar">
    <w:name w:val="Header Char"/>
    <w:basedOn w:val="DefaultParagraphFont"/>
    <w:link w:val="Header"/>
    <w:uiPriority w:val="99"/>
    <w:rsid w:val="001B2051"/>
  </w:style>
  <w:style w:type="paragraph" w:styleId="Footer">
    <w:name w:val="footer"/>
    <w:basedOn w:val="Normal"/>
    <w:link w:val="FooterChar"/>
    <w:uiPriority w:val="99"/>
    <w:unhideWhenUsed/>
    <w:rsid w:val="001B2051"/>
    <w:pPr>
      <w:tabs>
        <w:tab w:val="center" w:pos="4680"/>
        <w:tab w:val="right" w:pos="9360"/>
      </w:tabs>
    </w:pPr>
  </w:style>
  <w:style w:type="character" w:customStyle="1" w:styleId="FooterChar">
    <w:name w:val="Footer Char"/>
    <w:basedOn w:val="DefaultParagraphFont"/>
    <w:link w:val="Footer"/>
    <w:uiPriority w:val="99"/>
    <w:rsid w:val="001B2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CC2"/>
    <w:rPr>
      <w:rFonts w:ascii="Tahoma" w:hAnsi="Tahoma" w:cs="Tahoma"/>
      <w:sz w:val="16"/>
      <w:szCs w:val="16"/>
    </w:rPr>
  </w:style>
  <w:style w:type="character" w:customStyle="1" w:styleId="BalloonTextChar">
    <w:name w:val="Balloon Text Char"/>
    <w:basedOn w:val="DefaultParagraphFont"/>
    <w:link w:val="BalloonText"/>
    <w:uiPriority w:val="99"/>
    <w:semiHidden/>
    <w:rsid w:val="006A5CC2"/>
    <w:rPr>
      <w:rFonts w:ascii="Tahoma" w:hAnsi="Tahoma" w:cs="Tahoma"/>
      <w:sz w:val="16"/>
      <w:szCs w:val="16"/>
    </w:rPr>
  </w:style>
  <w:style w:type="paragraph" w:styleId="FootnoteText">
    <w:name w:val="footnote text"/>
    <w:basedOn w:val="Normal"/>
    <w:link w:val="FootnoteTextChar"/>
    <w:uiPriority w:val="99"/>
    <w:semiHidden/>
    <w:unhideWhenUsed/>
    <w:rsid w:val="00133D46"/>
    <w:rPr>
      <w:sz w:val="20"/>
      <w:szCs w:val="20"/>
    </w:rPr>
  </w:style>
  <w:style w:type="character" w:customStyle="1" w:styleId="FootnoteTextChar">
    <w:name w:val="Footnote Text Char"/>
    <w:basedOn w:val="DefaultParagraphFont"/>
    <w:link w:val="FootnoteText"/>
    <w:uiPriority w:val="99"/>
    <w:semiHidden/>
    <w:rsid w:val="00133D46"/>
    <w:rPr>
      <w:sz w:val="20"/>
      <w:szCs w:val="20"/>
    </w:rPr>
  </w:style>
  <w:style w:type="character" w:styleId="FootnoteReference">
    <w:name w:val="footnote reference"/>
    <w:basedOn w:val="DefaultParagraphFont"/>
    <w:uiPriority w:val="99"/>
    <w:semiHidden/>
    <w:unhideWhenUsed/>
    <w:rsid w:val="00133D46"/>
    <w:rPr>
      <w:vertAlign w:val="superscript"/>
    </w:rPr>
  </w:style>
  <w:style w:type="paragraph" w:styleId="Header">
    <w:name w:val="header"/>
    <w:basedOn w:val="Normal"/>
    <w:link w:val="HeaderChar"/>
    <w:uiPriority w:val="99"/>
    <w:unhideWhenUsed/>
    <w:rsid w:val="001B2051"/>
    <w:pPr>
      <w:tabs>
        <w:tab w:val="center" w:pos="4680"/>
        <w:tab w:val="right" w:pos="9360"/>
      </w:tabs>
    </w:pPr>
  </w:style>
  <w:style w:type="character" w:customStyle="1" w:styleId="HeaderChar">
    <w:name w:val="Header Char"/>
    <w:basedOn w:val="DefaultParagraphFont"/>
    <w:link w:val="Header"/>
    <w:uiPriority w:val="99"/>
    <w:rsid w:val="001B2051"/>
  </w:style>
  <w:style w:type="paragraph" w:styleId="Footer">
    <w:name w:val="footer"/>
    <w:basedOn w:val="Normal"/>
    <w:link w:val="FooterChar"/>
    <w:uiPriority w:val="99"/>
    <w:unhideWhenUsed/>
    <w:rsid w:val="001B2051"/>
    <w:pPr>
      <w:tabs>
        <w:tab w:val="center" w:pos="4680"/>
        <w:tab w:val="right" w:pos="9360"/>
      </w:tabs>
    </w:pPr>
  </w:style>
  <w:style w:type="character" w:customStyle="1" w:styleId="FooterChar">
    <w:name w:val="Footer Char"/>
    <w:basedOn w:val="DefaultParagraphFont"/>
    <w:link w:val="Footer"/>
    <w:uiPriority w:val="99"/>
    <w:rsid w:val="001B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08B56-1544-4D78-8371-1A7CE6A8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5</cp:revision>
  <cp:lastPrinted>2011-11-02T20:12:00Z</cp:lastPrinted>
  <dcterms:created xsi:type="dcterms:W3CDTF">2011-10-27T15:20:00Z</dcterms:created>
  <dcterms:modified xsi:type="dcterms:W3CDTF">2011-11-02T20:12:00Z</dcterms:modified>
</cp:coreProperties>
</file>