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F7F" w:rsidRDefault="00840D30">
      <w:pPr>
        <w:rPr>
          <w:rFonts w:ascii="Times New Roman" w:hAnsi="Times New Roman" w:cs="Times New Roman"/>
          <w:sz w:val="24"/>
          <w:szCs w:val="24"/>
        </w:rPr>
      </w:pPr>
      <w:r>
        <w:rPr>
          <w:rFonts w:ascii="Times New Roman" w:hAnsi="Times New Roman" w:cs="Times New Roman"/>
          <w:sz w:val="24"/>
          <w:szCs w:val="24"/>
        </w:rPr>
        <w:t>CADDO OIL CORPORATION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NUMBER:  518,976, “B”</w:t>
      </w:r>
    </w:p>
    <w:p w:rsidR="00840D30" w:rsidRDefault="00840D30">
      <w:pPr>
        <w:rPr>
          <w:rFonts w:ascii="Times New Roman" w:hAnsi="Times New Roman" w:cs="Times New Roman"/>
          <w:sz w:val="24"/>
          <w:szCs w:val="24"/>
        </w:rPr>
      </w:pPr>
    </w:p>
    <w:p w:rsidR="00840D30" w:rsidRDefault="00840D30">
      <w:pPr>
        <w:rPr>
          <w:rFonts w:ascii="Times New Roman" w:hAnsi="Times New Roman" w:cs="Times New Roman"/>
          <w:sz w:val="24"/>
          <w:szCs w:val="24"/>
        </w:rPr>
      </w:pPr>
      <w:r>
        <w:rPr>
          <w:rFonts w:ascii="Times New Roman" w:hAnsi="Times New Roman" w:cs="Times New Roman"/>
          <w:sz w:val="24"/>
          <w:szCs w:val="24"/>
        </w:rPr>
        <w:t>VERSUS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FIRST JUDICIAL DISTRICT COURT</w:t>
      </w:r>
    </w:p>
    <w:p w:rsidR="00840D30" w:rsidRDefault="00840D30">
      <w:pPr>
        <w:rPr>
          <w:rFonts w:ascii="Times New Roman" w:hAnsi="Times New Roman" w:cs="Times New Roman"/>
          <w:sz w:val="24"/>
          <w:szCs w:val="24"/>
        </w:rPr>
      </w:pPr>
    </w:p>
    <w:p w:rsidR="00840D30" w:rsidRDefault="00840D30">
      <w:pPr>
        <w:rPr>
          <w:rFonts w:ascii="Times New Roman" w:hAnsi="Times New Roman" w:cs="Times New Roman"/>
          <w:sz w:val="24"/>
          <w:szCs w:val="24"/>
        </w:rPr>
      </w:pPr>
      <w:r>
        <w:rPr>
          <w:rFonts w:ascii="Times New Roman" w:hAnsi="Times New Roman" w:cs="Times New Roman"/>
          <w:sz w:val="24"/>
          <w:szCs w:val="24"/>
        </w:rPr>
        <w:t>MOKULUA OIL &amp; GAS, LLC AND ERIC</w:t>
      </w:r>
    </w:p>
    <w:p w:rsidR="00840D30" w:rsidRDefault="00840D30">
      <w:pPr>
        <w:rPr>
          <w:rFonts w:ascii="Times New Roman" w:hAnsi="Times New Roman" w:cs="Times New Roman"/>
          <w:sz w:val="24"/>
          <w:szCs w:val="24"/>
        </w:rPr>
      </w:pPr>
      <w:r>
        <w:rPr>
          <w:rFonts w:ascii="Times New Roman" w:hAnsi="Times New Roman" w:cs="Times New Roman"/>
          <w:sz w:val="24"/>
          <w:szCs w:val="24"/>
        </w:rPr>
        <w:t>PEARSON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CADDO PARISH, LOUISISANA</w:t>
      </w:r>
    </w:p>
    <w:p w:rsidR="00840D30" w:rsidRDefault="00840D30">
      <w:pPr>
        <w:rPr>
          <w:rFonts w:ascii="Times New Roman" w:hAnsi="Times New Roman" w:cs="Times New Roman"/>
          <w:sz w:val="24"/>
          <w:szCs w:val="24"/>
        </w:rPr>
      </w:pPr>
    </w:p>
    <w:p w:rsidR="00840D30" w:rsidRDefault="00840D30" w:rsidP="00840D30">
      <w:pPr>
        <w:jc w:val="center"/>
        <w:rPr>
          <w:rFonts w:ascii="Times New Roman" w:hAnsi="Times New Roman" w:cs="Times New Roman"/>
          <w:b/>
          <w:sz w:val="28"/>
          <w:szCs w:val="28"/>
          <w:u w:val="single"/>
        </w:rPr>
      </w:pPr>
      <w:r>
        <w:rPr>
          <w:rFonts w:ascii="Times New Roman" w:hAnsi="Times New Roman" w:cs="Times New Roman"/>
          <w:b/>
          <w:sz w:val="28"/>
          <w:szCs w:val="28"/>
          <w:u w:val="single"/>
        </w:rPr>
        <w:t>REASONS FOR JUDGMENT</w:t>
      </w:r>
    </w:p>
    <w:p w:rsidR="00840D30" w:rsidRDefault="00840D30" w:rsidP="00840D30">
      <w:pPr>
        <w:jc w:val="center"/>
        <w:rPr>
          <w:rFonts w:ascii="Times New Roman" w:hAnsi="Times New Roman" w:cs="Times New Roman"/>
          <w:b/>
          <w:sz w:val="28"/>
          <w:szCs w:val="28"/>
          <w:u w:val="single"/>
        </w:rPr>
      </w:pPr>
    </w:p>
    <w:p w:rsidR="00840D30" w:rsidRDefault="00840D30" w:rsidP="00840D30">
      <w:pPr>
        <w:spacing w:line="480" w:lineRule="auto"/>
        <w:rPr>
          <w:rFonts w:ascii="Times New Roman" w:hAnsi="Times New Roman" w:cs="Times New Roman"/>
          <w:sz w:val="24"/>
          <w:szCs w:val="24"/>
        </w:rPr>
      </w:pPr>
      <w:r>
        <w:rPr>
          <w:rFonts w:ascii="Times New Roman" w:hAnsi="Times New Roman" w:cs="Times New Roman"/>
          <w:sz w:val="28"/>
          <w:szCs w:val="28"/>
        </w:rPr>
        <w:tab/>
      </w:r>
      <w:r>
        <w:rPr>
          <w:rFonts w:ascii="Times New Roman" w:hAnsi="Times New Roman" w:cs="Times New Roman"/>
          <w:sz w:val="24"/>
          <w:szCs w:val="24"/>
        </w:rPr>
        <w:t>Plaintiff Caddo Oil Corporation</w:t>
      </w:r>
      <w:r w:rsidR="00944552">
        <w:rPr>
          <w:rFonts w:ascii="Times New Roman" w:hAnsi="Times New Roman" w:cs="Times New Roman"/>
          <w:sz w:val="24"/>
          <w:szCs w:val="24"/>
        </w:rPr>
        <w:t xml:space="preserve"> (Caddo Oil)</w:t>
      </w:r>
      <w:r w:rsidR="00BA31FF">
        <w:rPr>
          <w:rStyle w:val="FootnoteReference"/>
          <w:rFonts w:ascii="Times New Roman" w:hAnsi="Times New Roman" w:cs="Times New Roman"/>
          <w:sz w:val="24"/>
          <w:szCs w:val="24"/>
        </w:rPr>
        <w:footnoteReference w:id="1"/>
      </w:r>
      <w:r w:rsidR="00944552">
        <w:rPr>
          <w:rFonts w:ascii="Times New Roman" w:hAnsi="Times New Roman" w:cs="Times New Roman"/>
          <w:sz w:val="24"/>
          <w:szCs w:val="24"/>
        </w:rPr>
        <w:t xml:space="preserve"> </w:t>
      </w:r>
      <w:r>
        <w:rPr>
          <w:rFonts w:ascii="Times New Roman" w:hAnsi="Times New Roman" w:cs="Times New Roman"/>
          <w:sz w:val="24"/>
          <w:szCs w:val="24"/>
        </w:rPr>
        <w:t xml:space="preserve">failed to </w:t>
      </w:r>
      <w:r w:rsidR="00E34F7B">
        <w:rPr>
          <w:rFonts w:ascii="Times New Roman" w:hAnsi="Times New Roman" w:cs="Times New Roman"/>
          <w:sz w:val="24"/>
          <w:szCs w:val="24"/>
        </w:rPr>
        <w:t xml:space="preserve">make an appearance at trial set </w:t>
      </w:r>
      <w:r w:rsidR="00BA31FF">
        <w:rPr>
          <w:rFonts w:ascii="Times New Roman" w:hAnsi="Times New Roman" w:cs="Times New Roman"/>
          <w:sz w:val="24"/>
          <w:szCs w:val="24"/>
        </w:rPr>
        <w:t xml:space="preserve">March 22, 2011, </w:t>
      </w:r>
      <w:r>
        <w:rPr>
          <w:rFonts w:ascii="Times New Roman" w:hAnsi="Times New Roman" w:cs="Times New Roman"/>
          <w:sz w:val="24"/>
          <w:szCs w:val="24"/>
        </w:rPr>
        <w:t xml:space="preserve">and the Court ordered the plaintiff’s claims against Defendants </w:t>
      </w:r>
      <w:proofErr w:type="spellStart"/>
      <w:r>
        <w:rPr>
          <w:rFonts w:ascii="Times New Roman" w:hAnsi="Times New Roman" w:cs="Times New Roman"/>
          <w:sz w:val="24"/>
          <w:szCs w:val="24"/>
        </w:rPr>
        <w:t>Mokulua</w:t>
      </w:r>
      <w:proofErr w:type="spellEnd"/>
      <w:r>
        <w:rPr>
          <w:rFonts w:ascii="Times New Roman" w:hAnsi="Times New Roman" w:cs="Times New Roman"/>
          <w:sz w:val="24"/>
          <w:szCs w:val="24"/>
        </w:rPr>
        <w:t xml:space="preserve"> Oil and Gas, LLC (</w:t>
      </w:r>
      <w:proofErr w:type="spellStart"/>
      <w:r>
        <w:rPr>
          <w:rFonts w:ascii="Times New Roman" w:hAnsi="Times New Roman" w:cs="Times New Roman"/>
          <w:sz w:val="24"/>
          <w:szCs w:val="24"/>
        </w:rPr>
        <w:t>Mokulua</w:t>
      </w:r>
      <w:proofErr w:type="spellEnd"/>
      <w:r>
        <w:rPr>
          <w:rFonts w:ascii="Times New Roman" w:hAnsi="Times New Roman" w:cs="Times New Roman"/>
          <w:sz w:val="24"/>
          <w:szCs w:val="24"/>
        </w:rPr>
        <w:t>) and Eric Pearson</w:t>
      </w:r>
      <w:r w:rsidR="00944552">
        <w:rPr>
          <w:rFonts w:ascii="Times New Roman" w:hAnsi="Times New Roman" w:cs="Times New Roman"/>
          <w:sz w:val="24"/>
          <w:szCs w:val="24"/>
        </w:rPr>
        <w:t xml:space="preserve"> (Pearson)</w:t>
      </w:r>
      <w:r w:rsidR="00BA31FF">
        <w:rPr>
          <w:rFonts w:ascii="Times New Roman" w:hAnsi="Times New Roman" w:cs="Times New Roman"/>
          <w:sz w:val="24"/>
          <w:szCs w:val="24"/>
        </w:rPr>
        <w:t xml:space="preserve"> </w:t>
      </w:r>
      <w:r>
        <w:rPr>
          <w:rFonts w:ascii="Times New Roman" w:hAnsi="Times New Roman" w:cs="Times New Roman"/>
          <w:sz w:val="24"/>
          <w:szCs w:val="24"/>
        </w:rPr>
        <w:t xml:space="preserve">dismissed.  Trial commenced on the </w:t>
      </w:r>
      <w:proofErr w:type="spellStart"/>
      <w:proofErr w:type="gramStart"/>
      <w:r>
        <w:rPr>
          <w:rFonts w:ascii="Times New Roman" w:hAnsi="Times New Roman" w:cs="Times New Roman"/>
          <w:sz w:val="24"/>
          <w:szCs w:val="24"/>
        </w:rPr>
        <w:t>reconventional</w:t>
      </w:r>
      <w:proofErr w:type="spellEnd"/>
      <w:proofErr w:type="gramEnd"/>
      <w:r>
        <w:rPr>
          <w:rFonts w:ascii="Times New Roman" w:hAnsi="Times New Roman" w:cs="Times New Roman"/>
          <w:sz w:val="24"/>
          <w:szCs w:val="24"/>
        </w:rPr>
        <w:t xml:space="preserve"> and third party demand</w:t>
      </w:r>
      <w:r w:rsidR="00E34F7B">
        <w:rPr>
          <w:rFonts w:ascii="Times New Roman" w:hAnsi="Times New Roman" w:cs="Times New Roman"/>
          <w:sz w:val="24"/>
          <w:szCs w:val="24"/>
        </w:rPr>
        <w:t>s</w:t>
      </w:r>
      <w:r>
        <w:rPr>
          <w:rFonts w:ascii="Times New Roman" w:hAnsi="Times New Roman" w:cs="Times New Roman"/>
          <w:sz w:val="24"/>
          <w:szCs w:val="24"/>
        </w:rPr>
        <w:t xml:space="preserve"> filed by </w:t>
      </w:r>
      <w:proofErr w:type="spellStart"/>
      <w:r>
        <w:rPr>
          <w:rFonts w:ascii="Times New Roman" w:hAnsi="Times New Roman" w:cs="Times New Roman"/>
          <w:sz w:val="24"/>
          <w:szCs w:val="24"/>
        </w:rPr>
        <w:t>Mokulua</w:t>
      </w:r>
      <w:proofErr w:type="spellEnd"/>
      <w:r>
        <w:rPr>
          <w:rFonts w:ascii="Times New Roman" w:hAnsi="Times New Roman" w:cs="Times New Roman"/>
          <w:sz w:val="24"/>
          <w:szCs w:val="24"/>
        </w:rPr>
        <w:t xml:space="preserve"> and Pearson against Caddo Oil and A.H. “Ace” Park</w:t>
      </w:r>
      <w:r w:rsidR="00944552">
        <w:rPr>
          <w:rFonts w:ascii="Times New Roman" w:hAnsi="Times New Roman" w:cs="Times New Roman"/>
          <w:sz w:val="24"/>
          <w:szCs w:val="24"/>
        </w:rPr>
        <w:t xml:space="preserve"> (Park)</w:t>
      </w:r>
      <w:r>
        <w:rPr>
          <w:rFonts w:ascii="Times New Roman" w:hAnsi="Times New Roman" w:cs="Times New Roman"/>
          <w:sz w:val="24"/>
          <w:szCs w:val="24"/>
        </w:rPr>
        <w:t xml:space="preserve">.  </w:t>
      </w:r>
      <w:r w:rsidR="00BA31FF">
        <w:rPr>
          <w:rFonts w:ascii="Times New Roman" w:hAnsi="Times New Roman" w:cs="Times New Roman"/>
          <w:sz w:val="24"/>
          <w:szCs w:val="24"/>
        </w:rPr>
        <w:t xml:space="preserve">The Court heard testimony from </w:t>
      </w:r>
      <w:r w:rsidR="00E34F7B">
        <w:rPr>
          <w:rFonts w:ascii="Times New Roman" w:hAnsi="Times New Roman" w:cs="Times New Roman"/>
          <w:sz w:val="24"/>
          <w:szCs w:val="24"/>
        </w:rPr>
        <w:t xml:space="preserve">Pearson, </w:t>
      </w:r>
      <w:r w:rsidR="00BA31FF">
        <w:rPr>
          <w:rFonts w:ascii="Times New Roman" w:hAnsi="Times New Roman" w:cs="Times New Roman"/>
          <w:sz w:val="24"/>
          <w:szCs w:val="24"/>
        </w:rPr>
        <w:t>Park</w:t>
      </w:r>
      <w:r w:rsidR="00E34F7B">
        <w:rPr>
          <w:rFonts w:ascii="Times New Roman" w:hAnsi="Times New Roman" w:cs="Times New Roman"/>
          <w:sz w:val="24"/>
          <w:szCs w:val="24"/>
        </w:rPr>
        <w:t xml:space="preserve"> and</w:t>
      </w:r>
      <w:r w:rsidR="00944552">
        <w:rPr>
          <w:rFonts w:ascii="Times New Roman" w:hAnsi="Times New Roman" w:cs="Times New Roman"/>
          <w:sz w:val="24"/>
          <w:szCs w:val="24"/>
        </w:rPr>
        <w:t xml:space="preserve"> </w:t>
      </w:r>
      <w:r w:rsidR="00BA31FF">
        <w:rPr>
          <w:rFonts w:ascii="Times New Roman" w:hAnsi="Times New Roman" w:cs="Times New Roman"/>
          <w:sz w:val="24"/>
          <w:szCs w:val="24"/>
        </w:rPr>
        <w:t xml:space="preserve">Fred </w:t>
      </w:r>
      <w:proofErr w:type="spellStart"/>
      <w:r w:rsidR="00BA31FF">
        <w:rPr>
          <w:rFonts w:ascii="Times New Roman" w:hAnsi="Times New Roman" w:cs="Times New Roman"/>
          <w:sz w:val="24"/>
          <w:szCs w:val="24"/>
        </w:rPr>
        <w:t>Sarkozi</w:t>
      </w:r>
      <w:proofErr w:type="spellEnd"/>
      <w:r w:rsidR="00BA31FF">
        <w:rPr>
          <w:rFonts w:ascii="Times New Roman" w:hAnsi="Times New Roman" w:cs="Times New Roman"/>
          <w:sz w:val="24"/>
          <w:szCs w:val="24"/>
        </w:rPr>
        <w:t xml:space="preserve"> </w:t>
      </w:r>
      <w:r w:rsidR="00944552">
        <w:rPr>
          <w:rFonts w:ascii="Times New Roman" w:hAnsi="Times New Roman" w:cs="Times New Roman"/>
          <w:sz w:val="24"/>
          <w:szCs w:val="24"/>
        </w:rPr>
        <w:t>and received into evidence a number of exhibits, notably</w:t>
      </w:r>
      <w:r w:rsidR="007C6666">
        <w:rPr>
          <w:rFonts w:ascii="Times New Roman" w:hAnsi="Times New Roman" w:cs="Times New Roman"/>
          <w:sz w:val="24"/>
          <w:szCs w:val="24"/>
        </w:rPr>
        <w:t xml:space="preserve"> the several </w:t>
      </w:r>
      <w:proofErr w:type="gramStart"/>
      <w:r w:rsidR="007C6666">
        <w:rPr>
          <w:rFonts w:ascii="Times New Roman" w:hAnsi="Times New Roman" w:cs="Times New Roman"/>
          <w:sz w:val="24"/>
          <w:szCs w:val="24"/>
        </w:rPr>
        <w:t>contract</w:t>
      </w:r>
      <w:proofErr w:type="gramEnd"/>
      <w:r w:rsidR="007C6666">
        <w:rPr>
          <w:rFonts w:ascii="Times New Roman" w:hAnsi="Times New Roman" w:cs="Times New Roman"/>
          <w:sz w:val="24"/>
          <w:szCs w:val="24"/>
        </w:rPr>
        <w:t xml:space="preserve"> to purchase and operating agreements, various e-mails between Park and Pearson, and the criminal conviction documents pertaining to Park.  </w:t>
      </w:r>
      <w:r w:rsidR="00E34F7B">
        <w:rPr>
          <w:rFonts w:ascii="Times New Roman" w:hAnsi="Times New Roman" w:cs="Times New Roman"/>
          <w:sz w:val="24"/>
          <w:szCs w:val="24"/>
        </w:rPr>
        <w:t>On the third party demand, f</w:t>
      </w:r>
      <w:r>
        <w:rPr>
          <w:rFonts w:ascii="Times New Roman" w:hAnsi="Times New Roman" w:cs="Times New Roman"/>
          <w:sz w:val="24"/>
          <w:szCs w:val="24"/>
        </w:rPr>
        <w:t>or reasons which follow, the Court concludes that Pearson has not carried his burden of proof and therefore judgment shall be rendered in favor of Park.</w:t>
      </w:r>
    </w:p>
    <w:p w:rsidR="00E34F7B" w:rsidRPr="00E34F7B" w:rsidRDefault="00E34F7B" w:rsidP="00E34F7B">
      <w:pPr>
        <w:spacing w:line="48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BASIC FACTS</w:t>
      </w:r>
    </w:p>
    <w:p w:rsidR="00840D30" w:rsidRDefault="00BA31FF" w:rsidP="00840D30">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In </w:t>
      </w:r>
      <w:r w:rsidR="007C6666">
        <w:rPr>
          <w:rFonts w:ascii="Times New Roman" w:hAnsi="Times New Roman" w:cs="Times New Roman"/>
          <w:sz w:val="24"/>
          <w:szCs w:val="24"/>
        </w:rPr>
        <w:t xml:space="preserve">about </w:t>
      </w:r>
      <w:r w:rsidR="00944552">
        <w:rPr>
          <w:rFonts w:ascii="Times New Roman" w:hAnsi="Times New Roman" w:cs="Times New Roman"/>
          <w:sz w:val="24"/>
          <w:szCs w:val="24"/>
        </w:rPr>
        <w:t>200</w:t>
      </w:r>
      <w:r w:rsidR="002619A5">
        <w:rPr>
          <w:rFonts w:ascii="Times New Roman" w:hAnsi="Times New Roman" w:cs="Times New Roman"/>
          <w:sz w:val="24"/>
          <w:szCs w:val="24"/>
        </w:rPr>
        <w:t>3</w:t>
      </w:r>
      <w:r w:rsidR="00944552">
        <w:rPr>
          <w:rFonts w:ascii="Times New Roman" w:hAnsi="Times New Roman" w:cs="Times New Roman"/>
          <w:sz w:val="24"/>
          <w:szCs w:val="24"/>
        </w:rPr>
        <w:t xml:space="preserve"> </w:t>
      </w:r>
      <w:r>
        <w:rPr>
          <w:rFonts w:ascii="Times New Roman" w:hAnsi="Times New Roman" w:cs="Times New Roman"/>
          <w:sz w:val="24"/>
          <w:szCs w:val="24"/>
        </w:rPr>
        <w:t>Pearson, a veterinarian domiciled in Hawaii, saw an advertisement in Wall Street Journal pertaining to the sale of oil and gas wells</w:t>
      </w:r>
      <w:r w:rsidR="007C6666">
        <w:rPr>
          <w:rFonts w:ascii="Times New Roman" w:hAnsi="Times New Roman" w:cs="Times New Roman"/>
          <w:sz w:val="24"/>
          <w:szCs w:val="24"/>
        </w:rPr>
        <w:t xml:space="preserve"> located in Louisiana</w:t>
      </w:r>
      <w:r>
        <w:rPr>
          <w:rFonts w:ascii="Times New Roman" w:hAnsi="Times New Roman" w:cs="Times New Roman"/>
          <w:sz w:val="24"/>
          <w:szCs w:val="24"/>
        </w:rPr>
        <w:t>.  As a result of this advertisement he initiated contact with Park</w:t>
      </w:r>
      <w:r w:rsidR="00361361">
        <w:rPr>
          <w:rFonts w:ascii="Times New Roman" w:hAnsi="Times New Roman" w:cs="Times New Roman"/>
          <w:sz w:val="24"/>
          <w:szCs w:val="24"/>
        </w:rPr>
        <w:t xml:space="preserve">.  </w:t>
      </w:r>
      <w:r>
        <w:rPr>
          <w:rFonts w:ascii="Times New Roman" w:hAnsi="Times New Roman" w:cs="Times New Roman"/>
          <w:sz w:val="24"/>
          <w:szCs w:val="24"/>
        </w:rPr>
        <w:t xml:space="preserve">In </w:t>
      </w:r>
      <w:r w:rsidR="0000015F">
        <w:rPr>
          <w:rFonts w:ascii="Times New Roman" w:hAnsi="Times New Roman" w:cs="Times New Roman"/>
          <w:sz w:val="24"/>
          <w:szCs w:val="24"/>
        </w:rPr>
        <w:t>2006 Park and Pearson renewed</w:t>
      </w:r>
      <w:r>
        <w:rPr>
          <w:rFonts w:ascii="Times New Roman" w:hAnsi="Times New Roman" w:cs="Times New Roman"/>
          <w:sz w:val="24"/>
          <w:szCs w:val="24"/>
        </w:rPr>
        <w:t xml:space="preserve"> contact which led to Park offering for sale the 35% revenue interest and 100% of the working interest in one of Caddo Oil’s wells.  In the fall of 2006, Pearson met Park in Dallas and the two men drove to Louisiana to view the various wells which Caddo Oil was offering for sale.  Besides examining well sites, the two had </w:t>
      </w:r>
      <w:r w:rsidR="00944552">
        <w:rPr>
          <w:rFonts w:ascii="Times New Roman" w:hAnsi="Times New Roman" w:cs="Times New Roman"/>
          <w:sz w:val="24"/>
          <w:szCs w:val="24"/>
        </w:rPr>
        <w:t xml:space="preserve">several hours of </w:t>
      </w:r>
      <w:r>
        <w:rPr>
          <w:rFonts w:ascii="Times New Roman" w:hAnsi="Times New Roman" w:cs="Times New Roman"/>
          <w:sz w:val="24"/>
          <w:szCs w:val="24"/>
        </w:rPr>
        <w:t>discussion during the Louisiana/Dallas</w:t>
      </w:r>
      <w:r w:rsidR="0000015F">
        <w:rPr>
          <w:rFonts w:ascii="Times New Roman" w:hAnsi="Times New Roman" w:cs="Times New Roman"/>
          <w:sz w:val="24"/>
          <w:szCs w:val="24"/>
        </w:rPr>
        <w:t>,</w:t>
      </w:r>
      <w:r>
        <w:rPr>
          <w:rFonts w:ascii="Times New Roman" w:hAnsi="Times New Roman" w:cs="Times New Roman"/>
          <w:sz w:val="24"/>
          <w:szCs w:val="24"/>
        </w:rPr>
        <w:t xml:space="preserve"> Texas round trip.  The Court does not believe that Park disclosed his extensive criminal and civil litigation history nor does the Court believe that Pearson inquired about it</w:t>
      </w:r>
      <w:r w:rsidR="00944552">
        <w:rPr>
          <w:rStyle w:val="FootnoteReference"/>
          <w:rFonts w:ascii="Times New Roman" w:hAnsi="Times New Roman" w:cs="Times New Roman"/>
          <w:sz w:val="24"/>
          <w:szCs w:val="24"/>
        </w:rPr>
        <w:footnoteReference w:id="2"/>
      </w:r>
      <w:r>
        <w:rPr>
          <w:rFonts w:ascii="Times New Roman" w:hAnsi="Times New Roman" w:cs="Times New Roman"/>
          <w:sz w:val="24"/>
          <w:szCs w:val="24"/>
        </w:rPr>
        <w:t>.  Park also did not accurately disclose information about the nature of a working interest in an oil well nor the substantial expenses</w:t>
      </w:r>
      <w:r w:rsidR="002619A5">
        <w:rPr>
          <w:rFonts w:ascii="Times New Roman" w:hAnsi="Times New Roman" w:cs="Times New Roman"/>
          <w:sz w:val="24"/>
          <w:szCs w:val="24"/>
        </w:rPr>
        <w:t xml:space="preserve">, </w:t>
      </w:r>
      <w:r w:rsidR="002619A5">
        <w:rPr>
          <w:rFonts w:ascii="Times New Roman" w:hAnsi="Times New Roman" w:cs="Times New Roman"/>
          <w:sz w:val="24"/>
          <w:szCs w:val="24"/>
        </w:rPr>
        <w:lastRenderedPageBreak/>
        <w:t>labor</w:t>
      </w:r>
      <w:r>
        <w:rPr>
          <w:rFonts w:ascii="Times New Roman" w:hAnsi="Times New Roman" w:cs="Times New Roman"/>
          <w:sz w:val="24"/>
          <w:szCs w:val="24"/>
        </w:rPr>
        <w:t xml:space="preserve"> and risks </w:t>
      </w:r>
      <w:r w:rsidR="002619A5">
        <w:rPr>
          <w:rFonts w:ascii="Times New Roman" w:hAnsi="Times New Roman" w:cs="Times New Roman"/>
          <w:sz w:val="24"/>
          <w:szCs w:val="24"/>
        </w:rPr>
        <w:t xml:space="preserve">associated with </w:t>
      </w:r>
      <w:r>
        <w:rPr>
          <w:rFonts w:ascii="Times New Roman" w:hAnsi="Times New Roman" w:cs="Times New Roman"/>
          <w:sz w:val="24"/>
          <w:szCs w:val="24"/>
        </w:rPr>
        <w:t>a stripper well</w:t>
      </w:r>
      <w:r w:rsidR="007C6666">
        <w:rPr>
          <w:rFonts w:ascii="Times New Roman" w:hAnsi="Times New Roman" w:cs="Times New Roman"/>
          <w:sz w:val="24"/>
          <w:szCs w:val="24"/>
        </w:rPr>
        <w:t xml:space="preserve">; however, it is unclear what inquiries were </w:t>
      </w:r>
      <w:r w:rsidR="00361361">
        <w:rPr>
          <w:rFonts w:ascii="Times New Roman" w:hAnsi="Times New Roman" w:cs="Times New Roman"/>
          <w:sz w:val="24"/>
          <w:szCs w:val="24"/>
        </w:rPr>
        <w:t xml:space="preserve">actually </w:t>
      </w:r>
      <w:r w:rsidR="007C6666">
        <w:rPr>
          <w:rFonts w:ascii="Times New Roman" w:hAnsi="Times New Roman" w:cs="Times New Roman"/>
          <w:sz w:val="24"/>
          <w:szCs w:val="24"/>
        </w:rPr>
        <w:t>made by Pearson</w:t>
      </w:r>
      <w:r>
        <w:rPr>
          <w:rFonts w:ascii="Times New Roman" w:hAnsi="Times New Roman" w:cs="Times New Roman"/>
          <w:sz w:val="24"/>
          <w:szCs w:val="24"/>
        </w:rPr>
        <w:t xml:space="preserve">.  Pearson </w:t>
      </w:r>
      <w:r w:rsidR="00944552">
        <w:rPr>
          <w:rFonts w:ascii="Times New Roman" w:hAnsi="Times New Roman" w:cs="Times New Roman"/>
          <w:sz w:val="24"/>
          <w:szCs w:val="24"/>
        </w:rPr>
        <w:t xml:space="preserve">formed </w:t>
      </w:r>
      <w:proofErr w:type="spellStart"/>
      <w:r>
        <w:rPr>
          <w:rFonts w:ascii="Times New Roman" w:hAnsi="Times New Roman" w:cs="Times New Roman"/>
          <w:sz w:val="24"/>
          <w:szCs w:val="24"/>
        </w:rPr>
        <w:t>Mokulua</w:t>
      </w:r>
      <w:proofErr w:type="spellEnd"/>
      <w:r>
        <w:rPr>
          <w:rFonts w:ascii="Times New Roman" w:hAnsi="Times New Roman" w:cs="Times New Roman"/>
          <w:sz w:val="24"/>
          <w:szCs w:val="24"/>
        </w:rPr>
        <w:t xml:space="preserve"> Oil and Gas, LLC and on October 1, 2006</w:t>
      </w:r>
      <w:r w:rsidR="007E7A1D">
        <w:rPr>
          <w:rFonts w:ascii="Times New Roman" w:hAnsi="Times New Roman" w:cs="Times New Roman"/>
          <w:sz w:val="24"/>
          <w:szCs w:val="24"/>
        </w:rPr>
        <w:t xml:space="preserve">, </w:t>
      </w:r>
      <w:proofErr w:type="spellStart"/>
      <w:r w:rsidR="007E7A1D">
        <w:rPr>
          <w:rFonts w:ascii="Times New Roman" w:hAnsi="Times New Roman" w:cs="Times New Roman"/>
          <w:sz w:val="24"/>
          <w:szCs w:val="24"/>
        </w:rPr>
        <w:t>Mokulua</w:t>
      </w:r>
      <w:proofErr w:type="spellEnd"/>
      <w:r w:rsidR="007E7A1D">
        <w:rPr>
          <w:rFonts w:ascii="Times New Roman" w:hAnsi="Times New Roman" w:cs="Times New Roman"/>
          <w:sz w:val="24"/>
          <w:szCs w:val="24"/>
        </w:rPr>
        <w:t xml:space="preserve"> entered into </w:t>
      </w:r>
      <w:r w:rsidR="00F73E66">
        <w:rPr>
          <w:rFonts w:ascii="Times New Roman" w:hAnsi="Times New Roman" w:cs="Times New Roman"/>
          <w:sz w:val="24"/>
          <w:szCs w:val="24"/>
        </w:rPr>
        <w:t xml:space="preserve">agreements with </w:t>
      </w:r>
      <w:r w:rsidR="007E7A1D">
        <w:rPr>
          <w:rFonts w:ascii="Times New Roman" w:hAnsi="Times New Roman" w:cs="Times New Roman"/>
          <w:sz w:val="24"/>
          <w:szCs w:val="24"/>
        </w:rPr>
        <w:t xml:space="preserve">Caddo Oil for the purchase of 100% of the working interest and 35% </w:t>
      </w:r>
      <w:r w:rsidR="00F73E66">
        <w:rPr>
          <w:rFonts w:ascii="Times New Roman" w:hAnsi="Times New Roman" w:cs="Times New Roman"/>
          <w:sz w:val="24"/>
          <w:szCs w:val="24"/>
        </w:rPr>
        <w:t xml:space="preserve">and 38% </w:t>
      </w:r>
      <w:r w:rsidR="007E7A1D">
        <w:rPr>
          <w:rFonts w:ascii="Times New Roman" w:hAnsi="Times New Roman" w:cs="Times New Roman"/>
          <w:sz w:val="24"/>
          <w:szCs w:val="24"/>
        </w:rPr>
        <w:t xml:space="preserve">of the net revenue interest in the </w:t>
      </w:r>
      <w:proofErr w:type="spellStart"/>
      <w:r w:rsidR="0000015F">
        <w:rPr>
          <w:rFonts w:ascii="Times New Roman" w:hAnsi="Times New Roman" w:cs="Times New Roman"/>
          <w:sz w:val="24"/>
          <w:szCs w:val="24"/>
        </w:rPr>
        <w:t>Soniat</w:t>
      </w:r>
      <w:proofErr w:type="spellEnd"/>
      <w:r w:rsidR="0000015F">
        <w:rPr>
          <w:rFonts w:ascii="Times New Roman" w:hAnsi="Times New Roman" w:cs="Times New Roman"/>
          <w:sz w:val="24"/>
          <w:szCs w:val="24"/>
        </w:rPr>
        <w:t xml:space="preserve"> </w:t>
      </w:r>
      <w:r w:rsidR="00E34F7B">
        <w:rPr>
          <w:rFonts w:ascii="Times New Roman" w:hAnsi="Times New Roman" w:cs="Times New Roman"/>
          <w:sz w:val="24"/>
          <w:szCs w:val="24"/>
        </w:rPr>
        <w:t xml:space="preserve">lease and </w:t>
      </w:r>
      <w:r w:rsidR="007E7A1D">
        <w:rPr>
          <w:rFonts w:ascii="Times New Roman" w:hAnsi="Times New Roman" w:cs="Times New Roman"/>
          <w:sz w:val="24"/>
          <w:szCs w:val="24"/>
        </w:rPr>
        <w:t>wells</w:t>
      </w:r>
      <w:r w:rsidR="00E34F7B">
        <w:rPr>
          <w:rFonts w:ascii="Times New Roman" w:hAnsi="Times New Roman" w:cs="Times New Roman"/>
          <w:sz w:val="24"/>
          <w:szCs w:val="24"/>
        </w:rPr>
        <w:t xml:space="preserve"> as well as the </w:t>
      </w:r>
      <w:proofErr w:type="spellStart"/>
      <w:r w:rsidR="00E34F7B">
        <w:rPr>
          <w:rFonts w:ascii="Times New Roman" w:hAnsi="Times New Roman" w:cs="Times New Roman"/>
          <w:sz w:val="24"/>
          <w:szCs w:val="24"/>
        </w:rPr>
        <w:t>Wappler</w:t>
      </w:r>
      <w:proofErr w:type="spellEnd"/>
      <w:r w:rsidR="00E34F7B">
        <w:rPr>
          <w:rFonts w:ascii="Times New Roman" w:hAnsi="Times New Roman" w:cs="Times New Roman"/>
          <w:sz w:val="24"/>
          <w:szCs w:val="24"/>
        </w:rPr>
        <w:t>-P lease and wells, respectively</w:t>
      </w:r>
      <w:r w:rsidR="007E7A1D">
        <w:rPr>
          <w:rFonts w:ascii="Times New Roman" w:hAnsi="Times New Roman" w:cs="Times New Roman"/>
          <w:sz w:val="24"/>
          <w:szCs w:val="24"/>
        </w:rPr>
        <w:t xml:space="preserve">.  </w:t>
      </w:r>
      <w:r w:rsidR="007C6666">
        <w:rPr>
          <w:rFonts w:ascii="Times New Roman" w:hAnsi="Times New Roman" w:cs="Times New Roman"/>
          <w:sz w:val="24"/>
          <w:szCs w:val="24"/>
        </w:rPr>
        <w:t xml:space="preserve">Only two of the five contracts were actually signed by Pearson, who </w:t>
      </w:r>
      <w:r w:rsidR="007E7A1D">
        <w:rPr>
          <w:rFonts w:ascii="Times New Roman" w:hAnsi="Times New Roman" w:cs="Times New Roman"/>
          <w:sz w:val="24"/>
          <w:szCs w:val="24"/>
        </w:rPr>
        <w:t xml:space="preserve">invested </w:t>
      </w:r>
      <w:r w:rsidR="00361361">
        <w:rPr>
          <w:rFonts w:ascii="Times New Roman" w:hAnsi="Times New Roman" w:cs="Times New Roman"/>
          <w:sz w:val="24"/>
          <w:szCs w:val="24"/>
        </w:rPr>
        <w:t>more than $600,000.00</w:t>
      </w:r>
      <w:r w:rsidR="00E34F7B">
        <w:rPr>
          <w:rFonts w:ascii="Times New Roman" w:hAnsi="Times New Roman" w:cs="Times New Roman"/>
          <w:sz w:val="24"/>
          <w:szCs w:val="24"/>
        </w:rPr>
        <w:t xml:space="preserve"> </w:t>
      </w:r>
      <w:r w:rsidR="007E7A1D">
        <w:rPr>
          <w:rFonts w:ascii="Times New Roman" w:hAnsi="Times New Roman" w:cs="Times New Roman"/>
          <w:sz w:val="24"/>
          <w:szCs w:val="24"/>
        </w:rPr>
        <w:t>in these transactions.</w:t>
      </w:r>
    </w:p>
    <w:p w:rsidR="00E34F7B" w:rsidRPr="00E34F7B" w:rsidRDefault="00E34F7B" w:rsidP="00E34F7B">
      <w:pPr>
        <w:spacing w:line="48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FINDINGS BY THE COURT</w:t>
      </w:r>
    </w:p>
    <w:p w:rsidR="007C6666" w:rsidRDefault="007E7A1D" w:rsidP="00840D30">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It is stunning to the Court that </w:t>
      </w:r>
      <w:r w:rsidR="00944552">
        <w:rPr>
          <w:rFonts w:ascii="Times New Roman" w:hAnsi="Times New Roman" w:cs="Times New Roman"/>
          <w:sz w:val="24"/>
          <w:szCs w:val="24"/>
        </w:rPr>
        <w:t xml:space="preserve">Pearson, </w:t>
      </w:r>
      <w:r>
        <w:rPr>
          <w:rFonts w:ascii="Times New Roman" w:hAnsi="Times New Roman" w:cs="Times New Roman"/>
          <w:sz w:val="24"/>
          <w:szCs w:val="24"/>
        </w:rPr>
        <w:t>a well-educated man with prior real estate investment experience and assets of over a million</w:t>
      </w:r>
      <w:r w:rsidR="002B1BDE">
        <w:rPr>
          <w:rFonts w:ascii="Times New Roman" w:hAnsi="Times New Roman" w:cs="Times New Roman"/>
          <w:sz w:val="24"/>
          <w:szCs w:val="24"/>
        </w:rPr>
        <w:t xml:space="preserve"> </w:t>
      </w:r>
      <w:proofErr w:type="gramStart"/>
      <w:r>
        <w:rPr>
          <w:rFonts w:ascii="Times New Roman" w:hAnsi="Times New Roman" w:cs="Times New Roman"/>
          <w:sz w:val="24"/>
          <w:szCs w:val="24"/>
        </w:rPr>
        <w:t>dollars,</w:t>
      </w:r>
      <w:proofErr w:type="gramEnd"/>
      <w:r>
        <w:rPr>
          <w:rFonts w:ascii="Times New Roman" w:hAnsi="Times New Roman" w:cs="Times New Roman"/>
          <w:sz w:val="24"/>
          <w:szCs w:val="24"/>
        </w:rPr>
        <w:t xml:space="preserve"> </w:t>
      </w:r>
      <w:r w:rsidR="00944552">
        <w:rPr>
          <w:rFonts w:ascii="Times New Roman" w:hAnsi="Times New Roman" w:cs="Times New Roman"/>
          <w:sz w:val="24"/>
          <w:szCs w:val="24"/>
        </w:rPr>
        <w:t xml:space="preserve">would </w:t>
      </w:r>
      <w:r>
        <w:rPr>
          <w:rFonts w:ascii="Times New Roman" w:hAnsi="Times New Roman" w:cs="Times New Roman"/>
          <w:sz w:val="24"/>
          <w:szCs w:val="24"/>
        </w:rPr>
        <w:t>choose to enter these transactions</w:t>
      </w:r>
      <w:r w:rsidR="00E34F7B">
        <w:rPr>
          <w:rFonts w:ascii="Times New Roman" w:hAnsi="Times New Roman" w:cs="Times New Roman"/>
          <w:sz w:val="24"/>
          <w:szCs w:val="24"/>
        </w:rPr>
        <w:t xml:space="preserve"> without sufficient inquiry, investigation or diligence</w:t>
      </w:r>
      <w:r>
        <w:rPr>
          <w:rFonts w:ascii="Times New Roman" w:hAnsi="Times New Roman" w:cs="Times New Roman"/>
          <w:sz w:val="24"/>
          <w:szCs w:val="24"/>
        </w:rPr>
        <w:t>.  Speci</w:t>
      </w:r>
      <w:r w:rsidR="000A70C1">
        <w:rPr>
          <w:rFonts w:ascii="Times New Roman" w:hAnsi="Times New Roman" w:cs="Times New Roman"/>
          <w:sz w:val="24"/>
          <w:szCs w:val="24"/>
        </w:rPr>
        <w:t>f</w:t>
      </w:r>
      <w:r>
        <w:rPr>
          <w:rFonts w:ascii="Times New Roman" w:hAnsi="Times New Roman" w:cs="Times New Roman"/>
          <w:sz w:val="24"/>
          <w:szCs w:val="24"/>
        </w:rPr>
        <w:t xml:space="preserve">ically, </w:t>
      </w:r>
      <w:r w:rsidR="000A70C1">
        <w:rPr>
          <w:rFonts w:ascii="Times New Roman" w:hAnsi="Times New Roman" w:cs="Times New Roman"/>
          <w:sz w:val="24"/>
          <w:szCs w:val="24"/>
        </w:rPr>
        <w:t xml:space="preserve">Pearson </w:t>
      </w:r>
      <w:r w:rsidR="002619A5">
        <w:rPr>
          <w:rFonts w:ascii="Times New Roman" w:hAnsi="Times New Roman" w:cs="Times New Roman"/>
          <w:sz w:val="24"/>
          <w:szCs w:val="24"/>
        </w:rPr>
        <w:t xml:space="preserve">declined </w:t>
      </w:r>
      <w:r w:rsidR="000A70C1">
        <w:rPr>
          <w:rFonts w:ascii="Times New Roman" w:hAnsi="Times New Roman" w:cs="Times New Roman"/>
          <w:sz w:val="24"/>
          <w:szCs w:val="24"/>
        </w:rPr>
        <w:t>to retain an oil and gas attorney to advise him</w:t>
      </w:r>
      <w:r w:rsidR="007C6666">
        <w:rPr>
          <w:rFonts w:ascii="Times New Roman" w:hAnsi="Times New Roman" w:cs="Times New Roman"/>
          <w:sz w:val="24"/>
          <w:szCs w:val="24"/>
        </w:rPr>
        <w:t xml:space="preserve"> – at least to review the contracts drafted by Park</w:t>
      </w:r>
      <w:r w:rsidR="000A70C1">
        <w:rPr>
          <w:rFonts w:ascii="Times New Roman" w:hAnsi="Times New Roman" w:cs="Times New Roman"/>
          <w:sz w:val="24"/>
          <w:szCs w:val="24"/>
        </w:rPr>
        <w:t xml:space="preserve">; he </w:t>
      </w:r>
      <w:r w:rsidR="002619A5">
        <w:rPr>
          <w:rFonts w:ascii="Times New Roman" w:hAnsi="Times New Roman" w:cs="Times New Roman"/>
          <w:sz w:val="24"/>
          <w:szCs w:val="24"/>
        </w:rPr>
        <w:t xml:space="preserve">declined </w:t>
      </w:r>
      <w:r w:rsidR="000A70C1">
        <w:rPr>
          <w:rFonts w:ascii="Times New Roman" w:hAnsi="Times New Roman" w:cs="Times New Roman"/>
          <w:sz w:val="24"/>
          <w:szCs w:val="24"/>
        </w:rPr>
        <w:t xml:space="preserve">to seek advice from a CPA with basic knowledge of oil and gas matters; he </w:t>
      </w:r>
      <w:r w:rsidR="002619A5">
        <w:rPr>
          <w:rFonts w:ascii="Times New Roman" w:hAnsi="Times New Roman" w:cs="Times New Roman"/>
          <w:sz w:val="24"/>
          <w:szCs w:val="24"/>
        </w:rPr>
        <w:t xml:space="preserve">declined </w:t>
      </w:r>
      <w:r w:rsidR="000A70C1">
        <w:rPr>
          <w:rFonts w:ascii="Times New Roman" w:hAnsi="Times New Roman" w:cs="Times New Roman"/>
          <w:sz w:val="24"/>
          <w:szCs w:val="24"/>
        </w:rPr>
        <w:t xml:space="preserve">to retain an expert in the oil and gas field to advise him about fundamental concepts of working interests and stripper wells.  </w:t>
      </w:r>
      <w:r w:rsidR="00944552">
        <w:rPr>
          <w:rFonts w:ascii="Times New Roman" w:hAnsi="Times New Roman" w:cs="Times New Roman"/>
          <w:sz w:val="24"/>
          <w:szCs w:val="24"/>
        </w:rPr>
        <w:t>H</w:t>
      </w:r>
      <w:r w:rsidR="000A70C1">
        <w:rPr>
          <w:rFonts w:ascii="Times New Roman" w:hAnsi="Times New Roman" w:cs="Times New Roman"/>
          <w:sz w:val="24"/>
          <w:szCs w:val="24"/>
        </w:rPr>
        <w:t xml:space="preserve">e disregarded the </w:t>
      </w:r>
      <w:r w:rsidR="00944552">
        <w:rPr>
          <w:rFonts w:ascii="Times New Roman" w:hAnsi="Times New Roman" w:cs="Times New Roman"/>
          <w:sz w:val="24"/>
          <w:szCs w:val="24"/>
        </w:rPr>
        <w:t xml:space="preserve">cautionary </w:t>
      </w:r>
      <w:r w:rsidR="000A70C1">
        <w:rPr>
          <w:rFonts w:ascii="Times New Roman" w:hAnsi="Times New Roman" w:cs="Times New Roman"/>
          <w:sz w:val="24"/>
          <w:szCs w:val="24"/>
        </w:rPr>
        <w:t xml:space="preserve">advice from his CPA that such investments are risky </w:t>
      </w:r>
      <w:r w:rsidR="00944552">
        <w:rPr>
          <w:rFonts w:ascii="Times New Roman" w:hAnsi="Times New Roman" w:cs="Times New Roman"/>
          <w:sz w:val="24"/>
          <w:szCs w:val="24"/>
        </w:rPr>
        <w:t xml:space="preserve">and </w:t>
      </w:r>
      <w:r w:rsidR="00E34F7B">
        <w:rPr>
          <w:rFonts w:ascii="Times New Roman" w:hAnsi="Times New Roman" w:cs="Times New Roman"/>
          <w:sz w:val="24"/>
          <w:szCs w:val="24"/>
        </w:rPr>
        <w:t xml:space="preserve">instead </w:t>
      </w:r>
      <w:r w:rsidR="000A70C1">
        <w:rPr>
          <w:rFonts w:ascii="Times New Roman" w:hAnsi="Times New Roman" w:cs="Times New Roman"/>
          <w:sz w:val="24"/>
          <w:szCs w:val="24"/>
        </w:rPr>
        <w:t xml:space="preserve">relied </w:t>
      </w:r>
      <w:r w:rsidR="00944552">
        <w:rPr>
          <w:rFonts w:ascii="Times New Roman" w:hAnsi="Times New Roman" w:cs="Times New Roman"/>
          <w:sz w:val="24"/>
          <w:szCs w:val="24"/>
        </w:rPr>
        <w:t xml:space="preserve">upon </w:t>
      </w:r>
      <w:r w:rsidR="000A70C1">
        <w:rPr>
          <w:rFonts w:ascii="Times New Roman" w:hAnsi="Times New Roman" w:cs="Times New Roman"/>
          <w:sz w:val="24"/>
          <w:szCs w:val="24"/>
        </w:rPr>
        <w:t>random information from an undisclosed source on the Internet</w:t>
      </w:r>
      <w:r w:rsidR="002619A5">
        <w:rPr>
          <w:rFonts w:ascii="Times New Roman" w:hAnsi="Times New Roman" w:cs="Times New Roman"/>
          <w:sz w:val="24"/>
          <w:szCs w:val="24"/>
        </w:rPr>
        <w:t xml:space="preserve"> – an unknown person in Virginia who claimed to be knowledgeable in oil and gas matters</w:t>
      </w:r>
      <w:r w:rsidR="000A70C1">
        <w:rPr>
          <w:rFonts w:ascii="Times New Roman" w:hAnsi="Times New Roman" w:cs="Times New Roman"/>
          <w:sz w:val="24"/>
          <w:szCs w:val="24"/>
        </w:rPr>
        <w:t>.</w:t>
      </w:r>
    </w:p>
    <w:p w:rsidR="00944552" w:rsidRDefault="000A70C1" w:rsidP="007C666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law </w:t>
      </w:r>
      <w:r w:rsidR="007C6666">
        <w:rPr>
          <w:rFonts w:ascii="Times New Roman" w:hAnsi="Times New Roman" w:cs="Times New Roman"/>
          <w:sz w:val="24"/>
          <w:szCs w:val="24"/>
        </w:rPr>
        <w:t xml:space="preserve">expects </w:t>
      </w:r>
      <w:r>
        <w:rPr>
          <w:rFonts w:ascii="Times New Roman" w:hAnsi="Times New Roman" w:cs="Times New Roman"/>
          <w:sz w:val="24"/>
          <w:szCs w:val="24"/>
        </w:rPr>
        <w:t>that the buyer/investor exercise a reasonabl</w:t>
      </w:r>
      <w:r w:rsidR="00E230C0">
        <w:rPr>
          <w:rFonts w:ascii="Times New Roman" w:hAnsi="Times New Roman" w:cs="Times New Roman"/>
          <w:sz w:val="24"/>
          <w:szCs w:val="24"/>
        </w:rPr>
        <w:t xml:space="preserve">e amount of common sense and </w:t>
      </w:r>
      <w:r>
        <w:rPr>
          <w:rFonts w:ascii="Times New Roman" w:hAnsi="Times New Roman" w:cs="Times New Roman"/>
          <w:sz w:val="24"/>
          <w:szCs w:val="24"/>
        </w:rPr>
        <w:t>diligence before entering into a transaction.  Th</w:t>
      </w:r>
      <w:r w:rsidR="00361361">
        <w:rPr>
          <w:rFonts w:ascii="Times New Roman" w:hAnsi="Times New Roman" w:cs="Times New Roman"/>
          <w:sz w:val="24"/>
          <w:szCs w:val="24"/>
        </w:rPr>
        <w:t>is</w:t>
      </w:r>
      <w:r>
        <w:rPr>
          <w:rFonts w:ascii="Times New Roman" w:hAnsi="Times New Roman" w:cs="Times New Roman"/>
          <w:sz w:val="24"/>
          <w:szCs w:val="24"/>
        </w:rPr>
        <w:t xml:space="preserve"> basic premise leads to</w:t>
      </w:r>
      <w:r w:rsidR="002619A5">
        <w:rPr>
          <w:rFonts w:ascii="Times New Roman" w:hAnsi="Times New Roman" w:cs="Times New Roman"/>
          <w:sz w:val="24"/>
          <w:szCs w:val="24"/>
        </w:rPr>
        <w:t xml:space="preserve"> several observations:  </w:t>
      </w:r>
      <w:r>
        <w:rPr>
          <w:rFonts w:ascii="Times New Roman" w:hAnsi="Times New Roman" w:cs="Times New Roman"/>
          <w:sz w:val="24"/>
          <w:szCs w:val="24"/>
        </w:rPr>
        <w:t xml:space="preserve"> First, Pearson testified that Park told him that he would net $2,220.00 per month for 40 years from the Nettie </w:t>
      </w:r>
      <w:proofErr w:type="spellStart"/>
      <w:r>
        <w:rPr>
          <w:rFonts w:ascii="Times New Roman" w:hAnsi="Times New Roman" w:cs="Times New Roman"/>
          <w:sz w:val="24"/>
          <w:szCs w:val="24"/>
        </w:rPr>
        <w:t>Soniat</w:t>
      </w:r>
      <w:proofErr w:type="spellEnd"/>
      <w:r>
        <w:rPr>
          <w:rFonts w:ascii="Times New Roman" w:hAnsi="Times New Roman" w:cs="Times New Roman"/>
          <w:sz w:val="24"/>
          <w:szCs w:val="24"/>
        </w:rPr>
        <w:t xml:space="preserve"> wells which he purchased for $28,900.00.  As counsel for Park argues, this is “contrary to Third Party Plaintiffs’ original allegations and </w:t>
      </w:r>
      <w:r w:rsidR="00E230C0">
        <w:rPr>
          <w:rFonts w:ascii="Times New Roman" w:hAnsi="Times New Roman" w:cs="Times New Roman"/>
          <w:sz w:val="24"/>
          <w:szCs w:val="24"/>
        </w:rPr>
        <w:t>s</w:t>
      </w:r>
      <w:r>
        <w:rPr>
          <w:rFonts w:ascii="Times New Roman" w:hAnsi="Times New Roman" w:cs="Times New Roman"/>
          <w:sz w:val="24"/>
          <w:szCs w:val="24"/>
        </w:rPr>
        <w:t>impl</w:t>
      </w:r>
      <w:r w:rsidR="00E230C0">
        <w:rPr>
          <w:rFonts w:ascii="Times New Roman" w:hAnsi="Times New Roman" w:cs="Times New Roman"/>
          <w:sz w:val="24"/>
          <w:szCs w:val="24"/>
        </w:rPr>
        <w:t>y</w:t>
      </w:r>
      <w:r>
        <w:rPr>
          <w:rFonts w:ascii="Times New Roman" w:hAnsi="Times New Roman" w:cs="Times New Roman"/>
          <w:sz w:val="24"/>
          <w:szCs w:val="24"/>
        </w:rPr>
        <w:t xml:space="preserve"> absurd…</w:t>
      </w:r>
      <w:r w:rsidR="000B028B">
        <w:rPr>
          <w:rFonts w:ascii="Times New Roman" w:hAnsi="Times New Roman" w:cs="Times New Roman"/>
          <w:sz w:val="24"/>
          <w:szCs w:val="24"/>
        </w:rPr>
        <w:t>simply ridiculous…”</w:t>
      </w:r>
      <w:r w:rsidR="00E34F7B">
        <w:rPr>
          <w:rStyle w:val="FootnoteReference"/>
          <w:rFonts w:ascii="Times New Roman" w:hAnsi="Times New Roman" w:cs="Times New Roman"/>
          <w:sz w:val="24"/>
          <w:szCs w:val="24"/>
        </w:rPr>
        <w:footnoteReference w:id="3"/>
      </w:r>
      <w:r w:rsidR="00E34F7B">
        <w:rPr>
          <w:rFonts w:ascii="Times New Roman" w:hAnsi="Times New Roman" w:cs="Times New Roman"/>
          <w:sz w:val="24"/>
          <w:szCs w:val="24"/>
        </w:rPr>
        <w:t xml:space="preserve">  </w:t>
      </w:r>
      <w:r w:rsidR="00E230C0">
        <w:rPr>
          <w:rFonts w:ascii="Times New Roman" w:hAnsi="Times New Roman" w:cs="Times New Roman"/>
          <w:sz w:val="24"/>
          <w:szCs w:val="24"/>
        </w:rPr>
        <w:t xml:space="preserve">The Court agrees </w:t>
      </w:r>
      <w:r w:rsidR="007C6666">
        <w:rPr>
          <w:rFonts w:ascii="Times New Roman" w:hAnsi="Times New Roman" w:cs="Times New Roman"/>
          <w:sz w:val="24"/>
          <w:szCs w:val="24"/>
        </w:rPr>
        <w:t xml:space="preserve">with counsel </w:t>
      </w:r>
      <w:r w:rsidR="00E230C0">
        <w:rPr>
          <w:rFonts w:ascii="Times New Roman" w:hAnsi="Times New Roman" w:cs="Times New Roman"/>
          <w:sz w:val="24"/>
          <w:szCs w:val="24"/>
        </w:rPr>
        <w:t>that if P</w:t>
      </w:r>
      <w:r w:rsidR="000B028B">
        <w:rPr>
          <w:rFonts w:ascii="Times New Roman" w:hAnsi="Times New Roman" w:cs="Times New Roman"/>
          <w:sz w:val="24"/>
          <w:szCs w:val="24"/>
        </w:rPr>
        <w:t xml:space="preserve">ark told Pearson that he would </w:t>
      </w:r>
      <w:r w:rsidR="002619A5">
        <w:rPr>
          <w:rFonts w:ascii="Times New Roman" w:hAnsi="Times New Roman" w:cs="Times New Roman"/>
          <w:sz w:val="24"/>
          <w:szCs w:val="24"/>
        </w:rPr>
        <w:t xml:space="preserve">profit to that extent </w:t>
      </w:r>
      <w:r w:rsidR="007C6666">
        <w:rPr>
          <w:rFonts w:ascii="Times New Roman" w:hAnsi="Times New Roman" w:cs="Times New Roman"/>
          <w:sz w:val="24"/>
          <w:szCs w:val="24"/>
        </w:rPr>
        <w:t xml:space="preserve">from this </w:t>
      </w:r>
      <w:r w:rsidR="000B028B">
        <w:rPr>
          <w:rFonts w:ascii="Times New Roman" w:hAnsi="Times New Roman" w:cs="Times New Roman"/>
          <w:sz w:val="24"/>
          <w:szCs w:val="24"/>
        </w:rPr>
        <w:t>investment, then the reasonable and common sense question by Pearson would necessarily be why wouldn’t Caddo Oil keep the wells for itself</w:t>
      </w:r>
      <w:r w:rsidR="00944552">
        <w:rPr>
          <w:rFonts w:ascii="Times New Roman" w:hAnsi="Times New Roman" w:cs="Times New Roman"/>
          <w:sz w:val="24"/>
          <w:szCs w:val="24"/>
        </w:rPr>
        <w:t>?</w:t>
      </w:r>
      <w:r w:rsidR="000B028B">
        <w:rPr>
          <w:rFonts w:ascii="Times New Roman" w:hAnsi="Times New Roman" w:cs="Times New Roman"/>
          <w:sz w:val="24"/>
          <w:szCs w:val="24"/>
        </w:rPr>
        <w:t xml:space="preserve">  </w:t>
      </w:r>
      <w:r w:rsidR="002619A5">
        <w:rPr>
          <w:rFonts w:ascii="Times New Roman" w:hAnsi="Times New Roman" w:cs="Times New Roman"/>
          <w:sz w:val="24"/>
          <w:szCs w:val="24"/>
        </w:rPr>
        <w:t>As Park’s counsel asked Pearson, “</w:t>
      </w:r>
      <w:proofErr w:type="gramStart"/>
      <w:r w:rsidR="002619A5">
        <w:rPr>
          <w:rFonts w:ascii="Times New Roman" w:hAnsi="Times New Roman" w:cs="Times New Roman"/>
          <w:sz w:val="24"/>
          <w:szCs w:val="24"/>
        </w:rPr>
        <w:t>why</w:t>
      </w:r>
      <w:proofErr w:type="gramEnd"/>
      <w:r w:rsidR="002619A5">
        <w:rPr>
          <w:rFonts w:ascii="Times New Roman" w:hAnsi="Times New Roman" w:cs="Times New Roman"/>
          <w:sz w:val="24"/>
          <w:szCs w:val="24"/>
        </w:rPr>
        <w:t xml:space="preserve"> would Park sell this golden goose?”</w:t>
      </w:r>
    </w:p>
    <w:p w:rsidR="000B028B" w:rsidRDefault="000B028B" w:rsidP="00944552">
      <w:pPr>
        <w:spacing w:line="480" w:lineRule="auto"/>
        <w:ind w:firstLine="720"/>
        <w:rPr>
          <w:rFonts w:ascii="Times New Roman" w:hAnsi="Times New Roman" w:cs="Times New Roman"/>
          <w:sz w:val="24"/>
          <w:szCs w:val="24"/>
        </w:rPr>
      </w:pPr>
      <w:r>
        <w:rPr>
          <w:rFonts w:ascii="Times New Roman" w:hAnsi="Times New Roman" w:cs="Times New Roman"/>
          <w:sz w:val="24"/>
          <w:szCs w:val="24"/>
        </w:rPr>
        <w:t>It should be noted that while the Court believes that the  transaction</w:t>
      </w:r>
      <w:r w:rsidR="002619A5">
        <w:rPr>
          <w:rFonts w:ascii="Times New Roman" w:hAnsi="Times New Roman" w:cs="Times New Roman"/>
          <w:sz w:val="24"/>
          <w:szCs w:val="24"/>
        </w:rPr>
        <w:t>s</w:t>
      </w:r>
      <w:r>
        <w:rPr>
          <w:rFonts w:ascii="Times New Roman" w:hAnsi="Times New Roman" w:cs="Times New Roman"/>
          <w:sz w:val="24"/>
          <w:szCs w:val="24"/>
        </w:rPr>
        <w:t xml:space="preserve"> </w:t>
      </w:r>
      <w:r w:rsidR="002619A5">
        <w:rPr>
          <w:rFonts w:ascii="Times New Roman" w:hAnsi="Times New Roman" w:cs="Times New Roman"/>
          <w:sz w:val="24"/>
          <w:szCs w:val="24"/>
        </w:rPr>
        <w:t xml:space="preserve">were </w:t>
      </w:r>
      <w:r>
        <w:rPr>
          <w:rFonts w:ascii="Times New Roman" w:hAnsi="Times New Roman" w:cs="Times New Roman"/>
          <w:sz w:val="24"/>
          <w:szCs w:val="24"/>
        </w:rPr>
        <w:t>clearly dismal investment</w:t>
      </w:r>
      <w:r w:rsidR="002619A5">
        <w:rPr>
          <w:rFonts w:ascii="Times New Roman" w:hAnsi="Times New Roman" w:cs="Times New Roman"/>
          <w:sz w:val="24"/>
          <w:szCs w:val="24"/>
        </w:rPr>
        <w:t>s</w:t>
      </w:r>
      <w:r>
        <w:rPr>
          <w:rFonts w:ascii="Times New Roman" w:hAnsi="Times New Roman" w:cs="Times New Roman"/>
          <w:sz w:val="24"/>
          <w:szCs w:val="24"/>
        </w:rPr>
        <w:t xml:space="preserve"> for Pearson and clearly “not standard” for the industry</w:t>
      </w:r>
      <w:r w:rsidR="002619A5">
        <w:rPr>
          <w:rFonts w:ascii="Times New Roman" w:hAnsi="Times New Roman" w:cs="Times New Roman"/>
          <w:sz w:val="24"/>
          <w:szCs w:val="24"/>
        </w:rPr>
        <w:t>,</w:t>
      </w:r>
      <w:r>
        <w:rPr>
          <w:rFonts w:ascii="Times New Roman" w:hAnsi="Times New Roman" w:cs="Times New Roman"/>
          <w:sz w:val="24"/>
          <w:szCs w:val="24"/>
        </w:rPr>
        <w:t xml:space="preserve"> there is no expert  testimony </w:t>
      </w:r>
      <w:r>
        <w:rPr>
          <w:rFonts w:ascii="Times New Roman" w:hAnsi="Times New Roman" w:cs="Times New Roman"/>
          <w:sz w:val="24"/>
          <w:szCs w:val="24"/>
        </w:rPr>
        <w:lastRenderedPageBreak/>
        <w:t xml:space="preserve">in the trial record </w:t>
      </w:r>
      <w:r w:rsidR="00F73E66">
        <w:rPr>
          <w:rFonts w:ascii="Times New Roman" w:hAnsi="Times New Roman" w:cs="Times New Roman"/>
          <w:sz w:val="24"/>
          <w:szCs w:val="24"/>
        </w:rPr>
        <w:t>to subst</w:t>
      </w:r>
      <w:r w:rsidR="00361361">
        <w:rPr>
          <w:rFonts w:ascii="Times New Roman" w:hAnsi="Times New Roman" w:cs="Times New Roman"/>
          <w:sz w:val="24"/>
          <w:szCs w:val="24"/>
        </w:rPr>
        <w:t>antiate</w:t>
      </w:r>
      <w:r w:rsidR="00F73E66">
        <w:rPr>
          <w:rFonts w:ascii="Times New Roman" w:hAnsi="Times New Roman" w:cs="Times New Roman"/>
          <w:sz w:val="24"/>
          <w:szCs w:val="24"/>
        </w:rPr>
        <w:t xml:space="preserve"> and </w:t>
      </w:r>
      <w:r w:rsidR="007C6666">
        <w:rPr>
          <w:rFonts w:ascii="Times New Roman" w:hAnsi="Times New Roman" w:cs="Times New Roman"/>
          <w:sz w:val="24"/>
          <w:szCs w:val="24"/>
        </w:rPr>
        <w:t xml:space="preserve">establish </w:t>
      </w:r>
      <w:r w:rsidR="00F73E66">
        <w:rPr>
          <w:rFonts w:ascii="Times New Roman" w:hAnsi="Times New Roman" w:cs="Times New Roman"/>
          <w:sz w:val="24"/>
          <w:szCs w:val="24"/>
        </w:rPr>
        <w:t>that fact;</w:t>
      </w:r>
      <w:r>
        <w:rPr>
          <w:rFonts w:ascii="Times New Roman" w:hAnsi="Times New Roman" w:cs="Times New Roman"/>
          <w:sz w:val="24"/>
          <w:szCs w:val="24"/>
        </w:rPr>
        <w:t xml:space="preserve"> specifically, while Fred </w:t>
      </w:r>
      <w:proofErr w:type="spellStart"/>
      <w:r>
        <w:rPr>
          <w:rFonts w:ascii="Times New Roman" w:hAnsi="Times New Roman" w:cs="Times New Roman"/>
          <w:sz w:val="24"/>
          <w:szCs w:val="24"/>
        </w:rPr>
        <w:t>Sarkozi</w:t>
      </w:r>
      <w:proofErr w:type="spellEnd"/>
      <w:r>
        <w:rPr>
          <w:rFonts w:ascii="Times New Roman" w:hAnsi="Times New Roman" w:cs="Times New Roman"/>
          <w:sz w:val="24"/>
          <w:szCs w:val="24"/>
        </w:rPr>
        <w:t xml:space="preserve"> provided </w:t>
      </w:r>
      <w:r w:rsidR="00E34F7B">
        <w:rPr>
          <w:rFonts w:ascii="Times New Roman" w:hAnsi="Times New Roman" w:cs="Times New Roman"/>
          <w:sz w:val="24"/>
          <w:szCs w:val="24"/>
        </w:rPr>
        <w:t xml:space="preserve">the </w:t>
      </w:r>
      <w:r>
        <w:rPr>
          <w:rFonts w:ascii="Times New Roman" w:hAnsi="Times New Roman" w:cs="Times New Roman"/>
          <w:sz w:val="24"/>
          <w:szCs w:val="24"/>
        </w:rPr>
        <w:t>observation</w:t>
      </w:r>
      <w:r w:rsidR="00E34F7B">
        <w:rPr>
          <w:rFonts w:ascii="Times New Roman" w:hAnsi="Times New Roman" w:cs="Times New Roman"/>
          <w:sz w:val="24"/>
          <w:szCs w:val="24"/>
        </w:rPr>
        <w:t xml:space="preserve"> that he would not expect to make a profit by owning only a 35% net revenue interest while being responsible for 100% of expenses as a working interest owner</w:t>
      </w:r>
      <w:r w:rsidR="00F73E66">
        <w:rPr>
          <w:rFonts w:ascii="Times New Roman" w:hAnsi="Times New Roman" w:cs="Times New Roman"/>
          <w:sz w:val="24"/>
          <w:szCs w:val="24"/>
        </w:rPr>
        <w:t>, h</w:t>
      </w:r>
      <w:r>
        <w:rPr>
          <w:rFonts w:ascii="Times New Roman" w:hAnsi="Times New Roman" w:cs="Times New Roman"/>
          <w:sz w:val="24"/>
          <w:szCs w:val="24"/>
        </w:rPr>
        <w:t>e was not tendered and accepted as an expert.  Pearson surely can’t offer an opinion as to this critical matter at issue, and obviously Park was not going to concede the fact that this was a poor investment.</w:t>
      </w:r>
    </w:p>
    <w:p w:rsidR="000B028B" w:rsidRDefault="000B028B" w:rsidP="00840D30">
      <w:pPr>
        <w:spacing w:line="480" w:lineRule="auto"/>
        <w:rPr>
          <w:rFonts w:ascii="Times New Roman" w:hAnsi="Times New Roman" w:cs="Times New Roman"/>
          <w:sz w:val="24"/>
          <w:szCs w:val="24"/>
        </w:rPr>
      </w:pPr>
      <w:r>
        <w:rPr>
          <w:rFonts w:ascii="Times New Roman" w:hAnsi="Times New Roman" w:cs="Times New Roman"/>
          <w:sz w:val="24"/>
          <w:szCs w:val="24"/>
        </w:rPr>
        <w:tab/>
      </w:r>
      <w:r w:rsidR="002619A5">
        <w:rPr>
          <w:rFonts w:ascii="Times New Roman" w:hAnsi="Times New Roman" w:cs="Times New Roman"/>
          <w:sz w:val="24"/>
          <w:szCs w:val="24"/>
        </w:rPr>
        <w:t xml:space="preserve">Moreover, </w:t>
      </w:r>
      <w:r>
        <w:rPr>
          <w:rFonts w:ascii="Times New Roman" w:hAnsi="Times New Roman" w:cs="Times New Roman"/>
          <w:sz w:val="24"/>
          <w:szCs w:val="24"/>
        </w:rPr>
        <w:t>and with specific reference to the fraud allegations, Pearson could have ascertained the truth without difficulty, inconvenience or special skill</w:t>
      </w:r>
      <w:r w:rsidR="007C6666">
        <w:rPr>
          <w:rFonts w:ascii="Times New Roman" w:hAnsi="Times New Roman" w:cs="Times New Roman"/>
          <w:sz w:val="24"/>
          <w:szCs w:val="24"/>
        </w:rPr>
        <w:t xml:space="preserve">, as contemplated by </w:t>
      </w:r>
      <w:r>
        <w:rPr>
          <w:rFonts w:ascii="Times New Roman" w:hAnsi="Times New Roman" w:cs="Times New Roman"/>
          <w:sz w:val="24"/>
          <w:szCs w:val="24"/>
        </w:rPr>
        <w:t xml:space="preserve">La. Civ. Code </w:t>
      </w:r>
      <w:r w:rsidR="00944552">
        <w:rPr>
          <w:rFonts w:ascii="Times New Roman" w:hAnsi="Times New Roman" w:cs="Times New Roman"/>
          <w:sz w:val="24"/>
          <w:szCs w:val="24"/>
        </w:rPr>
        <w:t>a</w:t>
      </w:r>
      <w:r>
        <w:rPr>
          <w:rFonts w:ascii="Times New Roman" w:hAnsi="Times New Roman" w:cs="Times New Roman"/>
          <w:sz w:val="24"/>
          <w:szCs w:val="24"/>
        </w:rPr>
        <w:t>rt. 1954</w:t>
      </w:r>
      <w:r w:rsidR="002619A5">
        <w:rPr>
          <w:rFonts w:ascii="Times New Roman" w:hAnsi="Times New Roman" w:cs="Times New Roman"/>
          <w:sz w:val="24"/>
          <w:szCs w:val="24"/>
        </w:rPr>
        <w:t>, notwithstanding the fact that, as his lawyer argued, he was the “antithesis of a sophisticated oil and gas investor”</w:t>
      </w:r>
      <w:r w:rsidR="002619A5">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w:t>
      </w:r>
      <w:r w:rsidR="002619A5">
        <w:rPr>
          <w:rFonts w:ascii="Times New Roman" w:hAnsi="Times New Roman" w:cs="Times New Roman"/>
          <w:sz w:val="24"/>
          <w:szCs w:val="24"/>
        </w:rPr>
        <w:t xml:space="preserve"> </w:t>
      </w:r>
      <w:r>
        <w:rPr>
          <w:rFonts w:ascii="Times New Roman" w:hAnsi="Times New Roman" w:cs="Times New Roman"/>
          <w:sz w:val="24"/>
          <w:szCs w:val="24"/>
        </w:rPr>
        <w:t>Not only could Pearson have spent minimal</w:t>
      </w:r>
      <w:r w:rsidR="000B1D99">
        <w:rPr>
          <w:rFonts w:ascii="Times New Roman" w:hAnsi="Times New Roman" w:cs="Times New Roman"/>
          <w:sz w:val="24"/>
          <w:szCs w:val="24"/>
        </w:rPr>
        <w:t xml:space="preserve"> </w:t>
      </w:r>
      <w:r>
        <w:rPr>
          <w:rFonts w:ascii="Times New Roman" w:hAnsi="Times New Roman" w:cs="Times New Roman"/>
          <w:sz w:val="24"/>
          <w:szCs w:val="24"/>
        </w:rPr>
        <w:t>time with an attorney, CPA or oil and gas expert</w:t>
      </w:r>
      <w:r w:rsidR="000B1D99">
        <w:rPr>
          <w:rFonts w:ascii="Times New Roman" w:hAnsi="Times New Roman" w:cs="Times New Roman"/>
          <w:sz w:val="24"/>
          <w:szCs w:val="24"/>
        </w:rPr>
        <w:t xml:space="preserve"> but he could also </w:t>
      </w:r>
      <w:r w:rsidR="00944552">
        <w:rPr>
          <w:rFonts w:ascii="Times New Roman" w:hAnsi="Times New Roman" w:cs="Times New Roman"/>
          <w:sz w:val="24"/>
          <w:szCs w:val="24"/>
        </w:rPr>
        <w:t xml:space="preserve">have </w:t>
      </w:r>
      <w:r w:rsidR="000B1D99">
        <w:rPr>
          <w:rFonts w:ascii="Times New Roman" w:hAnsi="Times New Roman" w:cs="Times New Roman"/>
          <w:sz w:val="24"/>
          <w:szCs w:val="24"/>
        </w:rPr>
        <w:t>checked the public records and learned of Park’s previous felony conviction – as his lawyer in this litigation has done</w:t>
      </w:r>
      <w:r w:rsidR="007C6666">
        <w:rPr>
          <w:rFonts w:ascii="Times New Roman" w:hAnsi="Times New Roman" w:cs="Times New Roman"/>
          <w:sz w:val="24"/>
          <w:szCs w:val="24"/>
        </w:rPr>
        <w:t xml:space="preserve"> – as well as the civil proceedings against Park</w:t>
      </w:r>
      <w:r w:rsidR="000B1D99">
        <w:rPr>
          <w:rFonts w:ascii="Times New Roman" w:hAnsi="Times New Roman" w:cs="Times New Roman"/>
          <w:sz w:val="24"/>
          <w:szCs w:val="24"/>
        </w:rPr>
        <w:t xml:space="preserve">.  </w:t>
      </w:r>
      <w:proofErr w:type="gramStart"/>
      <w:r w:rsidR="002619A5">
        <w:rPr>
          <w:rFonts w:ascii="Times New Roman" w:hAnsi="Times New Roman" w:cs="Times New Roman"/>
          <w:sz w:val="24"/>
          <w:szCs w:val="24"/>
        </w:rPr>
        <w:t>The fact that Pearson lives 8000 miles from Louisiana is irrelevant especially in view of present technology.</w:t>
      </w:r>
      <w:proofErr w:type="gramEnd"/>
      <w:r w:rsidR="002619A5">
        <w:rPr>
          <w:rFonts w:ascii="Times New Roman" w:hAnsi="Times New Roman" w:cs="Times New Roman"/>
          <w:sz w:val="24"/>
          <w:szCs w:val="24"/>
        </w:rPr>
        <w:t xml:space="preserve">  </w:t>
      </w:r>
      <w:r w:rsidR="000B1D99">
        <w:rPr>
          <w:rFonts w:ascii="Times New Roman" w:hAnsi="Times New Roman" w:cs="Times New Roman"/>
          <w:sz w:val="24"/>
          <w:szCs w:val="24"/>
        </w:rPr>
        <w:t xml:space="preserve">A modicum of effort to ascertain the facts would not have been difficult </w:t>
      </w:r>
      <w:proofErr w:type="gramStart"/>
      <w:r w:rsidR="000B1D99">
        <w:rPr>
          <w:rFonts w:ascii="Times New Roman" w:hAnsi="Times New Roman" w:cs="Times New Roman"/>
          <w:sz w:val="24"/>
          <w:szCs w:val="24"/>
        </w:rPr>
        <w:t>nor</w:t>
      </w:r>
      <w:proofErr w:type="gramEnd"/>
      <w:r w:rsidR="000B1D99">
        <w:rPr>
          <w:rFonts w:ascii="Times New Roman" w:hAnsi="Times New Roman" w:cs="Times New Roman"/>
          <w:sz w:val="24"/>
          <w:szCs w:val="24"/>
        </w:rPr>
        <w:t xml:space="preserve"> inconvenient.  The special skill in terms of expertise would have likely cost less than 1% of the amount of money Pearson sent Park.  This lack of even a minimal degree of diligence by Pearson </w:t>
      </w:r>
      <w:r w:rsidR="007C6666">
        <w:rPr>
          <w:rFonts w:ascii="Times New Roman" w:hAnsi="Times New Roman" w:cs="Times New Roman"/>
          <w:sz w:val="24"/>
          <w:szCs w:val="24"/>
        </w:rPr>
        <w:t xml:space="preserve">is mind-boggling and </w:t>
      </w:r>
      <w:r w:rsidR="000B1D99">
        <w:rPr>
          <w:rFonts w:ascii="Times New Roman" w:hAnsi="Times New Roman" w:cs="Times New Roman"/>
          <w:sz w:val="24"/>
          <w:szCs w:val="24"/>
        </w:rPr>
        <w:t>precludes recovery by him.</w:t>
      </w:r>
    </w:p>
    <w:p w:rsidR="00E34F7B" w:rsidRPr="00E34F7B" w:rsidRDefault="00E34F7B" w:rsidP="00E34F7B">
      <w:pPr>
        <w:spacing w:line="48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EVIDENCE OF PRIOR CONVICTIONS AND WRONGS/CREDIBILITY FINDINGS</w:t>
      </w:r>
    </w:p>
    <w:p w:rsidR="007C6666" w:rsidRDefault="007C6666" w:rsidP="00840D30">
      <w:pPr>
        <w:spacing w:line="480" w:lineRule="auto"/>
        <w:rPr>
          <w:rFonts w:ascii="Times New Roman" w:hAnsi="Times New Roman" w:cs="Times New Roman"/>
          <w:sz w:val="24"/>
          <w:szCs w:val="24"/>
        </w:rPr>
      </w:pPr>
      <w:r>
        <w:rPr>
          <w:rFonts w:ascii="Times New Roman" w:hAnsi="Times New Roman" w:cs="Times New Roman"/>
          <w:sz w:val="24"/>
          <w:szCs w:val="24"/>
        </w:rPr>
        <w:tab/>
        <w:t>In pre-trial and post-trial memoranda counsel for Park has understandably spent much time addressing Park’s conviction as well as his civil judgments.</w:t>
      </w:r>
    </w:p>
    <w:p w:rsidR="000B1D99" w:rsidRDefault="000B1D99" w:rsidP="00840D30">
      <w:pPr>
        <w:spacing w:line="480" w:lineRule="auto"/>
        <w:rPr>
          <w:rFonts w:ascii="Times New Roman" w:hAnsi="Times New Roman" w:cs="Times New Roman"/>
          <w:sz w:val="24"/>
          <w:szCs w:val="24"/>
        </w:rPr>
      </w:pPr>
      <w:r>
        <w:rPr>
          <w:rFonts w:ascii="Times New Roman" w:hAnsi="Times New Roman" w:cs="Times New Roman"/>
          <w:sz w:val="24"/>
          <w:szCs w:val="24"/>
        </w:rPr>
        <w:tab/>
      </w:r>
      <w:r w:rsidR="007C6666">
        <w:rPr>
          <w:rFonts w:ascii="Times New Roman" w:hAnsi="Times New Roman" w:cs="Times New Roman"/>
          <w:sz w:val="24"/>
          <w:szCs w:val="24"/>
        </w:rPr>
        <w:t>T</w:t>
      </w:r>
      <w:r>
        <w:rPr>
          <w:rFonts w:ascii="Times New Roman" w:hAnsi="Times New Roman" w:cs="Times New Roman"/>
          <w:sz w:val="24"/>
          <w:szCs w:val="24"/>
        </w:rPr>
        <w:t>he proper use of a felony conviction in a civil case</w:t>
      </w:r>
      <w:r w:rsidR="007C6666">
        <w:rPr>
          <w:rFonts w:ascii="Times New Roman" w:hAnsi="Times New Roman" w:cs="Times New Roman"/>
          <w:sz w:val="24"/>
          <w:szCs w:val="24"/>
        </w:rPr>
        <w:t xml:space="preserve"> is set forth by </w:t>
      </w:r>
      <w:r>
        <w:rPr>
          <w:rFonts w:ascii="Times New Roman" w:hAnsi="Times New Roman" w:cs="Times New Roman"/>
          <w:sz w:val="24"/>
          <w:szCs w:val="24"/>
        </w:rPr>
        <w:t xml:space="preserve">Louisiana Code of Evidence </w:t>
      </w:r>
      <w:r w:rsidR="0057771B">
        <w:rPr>
          <w:rFonts w:ascii="Times New Roman" w:hAnsi="Times New Roman" w:cs="Times New Roman"/>
          <w:sz w:val="24"/>
          <w:szCs w:val="24"/>
        </w:rPr>
        <w:t>a</w:t>
      </w:r>
      <w:r>
        <w:rPr>
          <w:rFonts w:ascii="Times New Roman" w:hAnsi="Times New Roman" w:cs="Times New Roman"/>
          <w:sz w:val="24"/>
          <w:szCs w:val="24"/>
        </w:rPr>
        <w:t>rt. 609 A provides:</w:t>
      </w:r>
    </w:p>
    <w:p w:rsidR="000B1D99" w:rsidRDefault="000B1D99" w:rsidP="000B1D99">
      <w:pPr>
        <w:pStyle w:val="ListParagraph"/>
        <w:numPr>
          <w:ilvl w:val="0"/>
          <w:numId w:val="3"/>
        </w:numPr>
        <w:ind w:right="720"/>
        <w:rPr>
          <w:rFonts w:ascii="Times New Roman" w:hAnsi="Times New Roman" w:cs="Times New Roman"/>
          <w:sz w:val="24"/>
          <w:szCs w:val="24"/>
        </w:rPr>
      </w:pPr>
      <w:r>
        <w:rPr>
          <w:rFonts w:ascii="Times New Roman" w:hAnsi="Times New Roman" w:cs="Times New Roman"/>
          <w:sz w:val="24"/>
          <w:szCs w:val="24"/>
        </w:rPr>
        <w:t xml:space="preserve"> General civil rule.  For the purpose of attacking the credibility of a witness in civil cases, no evidence of the details of the crime of which he </w:t>
      </w:r>
      <w:r w:rsidR="00E230C0">
        <w:rPr>
          <w:rFonts w:ascii="Times New Roman" w:hAnsi="Times New Roman" w:cs="Times New Roman"/>
          <w:sz w:val="24"/>
          <w:szCs w:val="24"/>
        </w:rPr>
        <w:t>w</w:t>
      </w:r>
      <w:r>
        <w:rPr>
          <w:rFonts w:ascii="Times New Roman" w:hAnsi="Times New Roman" w:cs="Times New Roman"/>
          <w:sz w:val="24"/>
          <w:szCs w:val="24"/>
        </w:rPr>
        <w:t>as convicted is admissible.  However, evidence of the name of the crime of which he was convicted and the date of conviction is admissible if the crime:</w:t>
      </w:r>
    </w:p>
    <w:p w:rsidR="000B1D99" w:rsidRDefault="000B1D99" w:rsidP="000B1D99">
      <w:pPr>
        <w:pStyle w:val="ListParagraph"/>
        <w:numPr>
          <w:ilvl w:val="0"/>
          <w:numId w:val="4"/>
        </w:numPr>
        <w:ind w:right="720"/>
        <w:rPr>
          <w:rFonts w:ascii="Times New Roman" w:hAnsi="Times New Roman" w:cs="Times New Roman"/>
          <w:sz w:val="24"/>
          <w:szCs w:val="24"/>
        </w:rPr>
      </w:pPr>
      <w:r>
        <w:rPr>
          <w:rFonts w:ascii="Times New Roman" w:hAnsi="Times New Roman" w:cs="Times New Roman"/>
          <w:sz w:val="24"/>
          <w:szCs w:val="24"/>
        </w:rPr>
        <w:t xml:space="preserve"> Was punishable by death or imprisonment in excess of six months under the law under which he was convicted, and the court determines  that that probative value of admitting this evidence outweighs its prejudicial effect to a party; or</w:t>
      </w:r>
    </w:p>
    <w:p w:rsidR="000B1D99" w:rsidRDefault="000B1D99" w:rsidP="000B1D99">
      <w:pPr>
        <w:pStyle w:val="ListParagraph"/>
        <w:numPr>
          <w:ilvl w:val="0"/>
          <w:numId w:val="4"/>
        </w:numPr>
        <w:ind w:right="720"/>
        <w:rPr>
          <w:rFonts w:ascii="Times New Roman" w:hAnsi="Times New Roman" w:cs="Times New Roman"/>
          <w:sz w:val="24"/>
          <w:szCs w:val="24"/>
        </w:rPr>
      </w:pPr>
      <w:r>
        <w:rPr>
          <w:rFonts w:ascii="Times New Roman" w:hAnsi="Times New Roman" w:cs="Times New Roman"/>
          <w:sz w:val="24"/>
          <w:szCs w:val="24"/>
        </w:rPr>
        <w:t xml:space="preserve">Involved dishonesty or false statement, regardless of the punishment.  </w:t>
      </w:r>
    </w:p>
    <w:p w:rsidR="00E230C0" w:rsidRDefault="00E230C0" w:rsidP="00E230C0">
      <w:pPr>
        <w:pStyle w:val="ListParagraph"/>
        <w:ind w:left="1440" w:right="720"/>
        <w:rPr>
          <w:rFonts w:ascii="Times New Roman" w:hAnsi="Times New Roman" w:cs="Times New Roman"/>
          <w:sz w:val="24"/>
          <w:szCs w:val="24"/>
        </w:rPr>
      </w:pPr>
    </w:p>
    <w:p w:rsidR="000B1D99" w:rsidRDefault="000B1D99" w:rsidP="000B1D99">
      <w:pPr>
        <w:pStyle w:val="ListParagraph"/>
        <w:numPr>
          <w:ilvl w:val="0"/>
          <w:numId w:val="3"/>
        </w:numPr>
        <w:ind w:right="720"/>
        <w:rPr>
          <w:rFonts w:ascii="Times New Roman" w:hAnsi="Times New Roman" w:cs="Times New Roman"/>
          <w:sz w:val="24"/>
          <w:szCs w:val="24"/>
        </w:rPr>
      </w:pPr>
      <w:r>
        <w:rPr>
          <w:rFonts w:ascii="Times New Roman" w:hAnsi="Times New Roman" w:cs="Times New Roman"/>
          <w:sz w:val="24"/>
          <w:szCs w:val="24"/>
        </w:rPr>
        <w:t xml:space="preserve"> Time limit.  Evidence of a conviction under this Article is not admissible if a period of more than ten years has elapsed since the date of the conviction.</w:t>
      </w:r>
    </w:p>
    <w:p w:rsidR="000B1D99" w:rsidRDefault="000B1D99" w:rsidP="000B1D99">
      <w:pPr>
        <w:ind w:right="720"/>
        <w:rPr>
          <w:rFonts w:ascii="Times New Roman" w:hAnsi="Times New Roman" w:cs="Times New Roman"/>
          <w:sz w:val="24"/>
          <w:szCs w:val="24"/>
        </w:rPr>
      </w:pPr>
      <w:r>
        <w:rPr>
          <w:rFonts w:ascii="Times New Roman" w:hAnsi="Times New Roman" w:cs="Times New Roman"/>
          <w:sz w:val="24"/>
          <w:szCs w:val="24"/>
        </w:rPr>
        <w:lastRenderedPageBreak/>
        <w:t>Park’s counsel has written:</w:t>
      </w:r>
    </w:p>
    <w:p w:rsidR="000B1D99" w:rsidRDefault="000B1D99" w:rsidP="000B1D99">
      <w:pPr>
        <w:ind w:left="720" w:right="720"/>
        <w:rPr>
          <w:rFonts w:ascii="Times New Roman" w:hAnsi="Times New Roman" w:cs="Times New Roman"/>
          <w:sz w:val="24"/>
          <w:szCs w:val="24"/>
        </w:rPr>
      </w:pPr>
    </w:p>
    <w:p w:rsidR="000B1D99" w:rsidRDefault="000B1D99" w:rsidP="000B1D99">
      <w:pPr>
        <w:ind w:left="720" w:right="720"/>
        <w:rPr>
          <w:rFonts w:ascii="Times New Roman" w:hAnsi="Times New Roman" w:cs="Times New Roman"/>
          <w:sz w:val="24"/>
          <w:szCs w:val="24"/>
        </w:rPr>
      </w:pPr>
      <w:r>
        <w:rPr>
          <w:rFonts w:ascii="Times New Roman" w:hAnsi="Times New Roman" w:cs="Times New Roman"/>
          <w:sz w:val="24"/>
          <w:szCs w:val="24"/>
        </w:rPr>
        <w:t xml:space="preserve">Park is a convicted felon.  On March 31, </w:t>
      </w:r>
      <w:r w:rsidR="0080436E">
        <w:rPr>
          <w:rFonts w:ascii="Times New Roman" w:hAnsi="Times New Roman" w:cs="Times New Roman"/>
          <w:sz w:val="24"/>
          <w:szCs w:val="24"/>
        </w:rPr>
        <w:t xml:space="preserve">1997, Park filed a voluntary petition in bankruptcy in the United States District </w:t>
      </w:r>
      <w:r w:rsidR="008246B2">
        <w:rPr>
          <w:rFonts w:ascii="Times New Roman" w:hAnsi="Times New Roman" w:cs="Times New Roman"/>
          <w:sz w:val="24"/>
          <w:szCs w:val="24"/>
        </w:rPr>
        <w:t>Court for the Eastern District of Texas, Sherman Division.  After receiving a discharge of significant debt, Park’s bankruptcy was reopened by the United States Trustee after it was determined that Park had committed fraud through the concealment of substantial assets through corporations owned and controlled by Park.  On May 9, 2001, Park was indicted on four counts, including one count of bankruptcy fraud, two counts of making false oaths in a bankruptcy proceeding, and one count of fraudulent concealment in a bankruptcy proceeding.  Park thereafter pled guilty to one count of bankruptcy fraud under 18 U.S.C. §157 in exchange for dismissal of the remaining three counts of the indictment.  Park was sentenced to one year in jail, fined $10,000</w:t>
      </w:r>
      <w:r w:rsidR="00E230C0">
        <w:rPr>
          <w:rFonts w:ascii="Times New Roman" w:hAnsi="Times New Roman" w:cs="Times New Roman"/>
          <w:sz w:val="24"/>
          <w:szCs w:val="24"/>
        </w:rPr>
        <w:t>,</w:t>
      </w:r>
      <w:r w:rsidR="008246B2">
        <w:rPr>
          <w:rFonts w:ascii="Times New Roman" w:hAnsi="Times New Roman" w:cs="Times New Roman"/>
          <w:sz w:val="24"/>
          <w:szCs w:val="24"/>
        </w:rPr>
        <w:t xml:space="preserve"> and ordered to make restitution in the amount of $88,000.  Upon his release from prison in June of 2003, Park was placed on supervised probation for three years through June of 2006</w:t>
      </w:r>
      <w:r w:rsidR="00473CEF">
        <w:rPr>
          <w:rStyle w:val="FootnoteReference"/>
          <w:rFonts w:ascii="Times New Roman" w:hAnsi="Times New Roman" w:cs="Times New Roman"/>
          <w:sz w:val="24"/>
          <w:szCs w:val="24"/>
        </w:rPr>
        <w:footnoteReference w:id="5"/>
      </w:r>
      <w:r w:rsidR="008246B2">
        <w:rPr>
          <w:rFonts w:ascii="Times New Roman" w:hAnsi="Times New Roman" w:cs="Times New Roman"/>
          <w:sz w:val="24"/>
          <w:szCs w:val="24"/>
        </w:rPr>
        <w:t>.</w:t>
      </w:r>
    </w:p>
    <w:p w:rsidR="008246B2" w:rsidRDefault="008246B2" w:rsidP="000B1D99">
      <w:pPr>
        <w:ind w:left="720" w:right="720"/>
        <w:rPr>
          <w:rFonts w:ascii="Times New Roman" w:hAnsi="Times New Roman" w:cs="Times New Roman"/>
          <w:sz w:val="24"/>
          <w:szCs w:val="24"/>
        </w:rPr>
      </w:pPr>
    </w:p>
    <w:p w:rsidR="0016482F" w:rsidRDefault="008246B2" w:rsidP="008246B2">
      <w:pPr>
        <w:spacing w:line="480" w:lineRule="auto"/>
        <w:ind w:right="720"/>
        <w:rPr>
          <w:rFonts w:ascii="Times New Roman" w:hAnsi="Times New Roman" w:cs="Times New Roman"/>
          <w:sz w:val="24"/>
          <w:szCs w:val="24"/>
        </w:rPr>
      </w:pPr>
      <w:r>
        <w:rPr>
          <w:rFonts w:ascii="Times New Roman" w:hAnsi="Times New Roman" w:cs="Times New Roman"/>
          <w:sz w:val="24"/>
          <w:szCs w:val="24"/>
        </w:rPr>
        <w:tab/>
        <w:t>Clearly</w:t>
      </w:r>
      <w:r w:rsidR="00944552">
        <w:rPr>
          <w:rFonts w:ascii="Times New Roman" w:hAnsi="Times New Roman" w:cs="Times New Roman"/>
          <w:sz w:val="24"/>
          <w:szCs w:val="24"/>
        </w:rPr>
        <w:t>,</w:t>
      </w:r>
      <w:r>
        <w:rPr>
          <w:rFonts w:ascii="Times New Roman" w:hAnsi="Times New Roman" w:cs="Times New Roman"/>
          <w:sz w:val="24"/>
          <w:szCs w:val="24"/>
        </w:rPr>
        <w:t xml:space="preserve"> </w:t>
      </w:r>
      <w:r w:rsidR="00E34F7B">
        <w:rPr>
          <w:rFonts w:ascii="Times New Roman" w:hAnsi="Times New Roman" w:cs="Times New Roman"/>
          <w:sz w:val="24"/>
          <w:szCs w:val="24"/>
        </w:rPr>
        <w:t xml:space="preserve">evidence of Park’s conviction </w:t>
      </w:r>
      <w:r>
        <w:rPr>
          <w:rFonts w:ascii="Times New Roman" w:hAnsi="Times New Roman" w:cs="Times New Roman"/>
          <w:sz w:val="24"/>
          <w:szCs w:val="24"/>
        </w:rPr>
        <w:t xml:space="preserve">is admissible under </w:t>
      </w:r>
      <w:r w:rsidR="0057771B">
        <w:rPr>
          <w:rFonts w:ascii="Times New Roman" w:hAnsi="Times New Roman" w:cs="Times New Roman"/>
          <w:sz w:val="24"/>
          <w:szCs w:val="24"/>
        </w:rPr>
        <w:t>Louisiana Code of Evidence a</w:t>
      </w:r>
      <w:r w:rsidR="00361361">
        <w:rPr>
          <w:rFonts w:ascii="Times New Roman" w:hAnsi="Times New Roman" w:cs="Times New Roman"/>
          <w:sz w:val="24"/>
          <w:szCs w:val="24"/>
        </w:rPr>
        <w:t xml:space="preserve">rt. </w:t>
      </w:r>
      <w:r w:rsidR="00944552">
        <w:rPr>
          <w:rFonts w:ascii="Times New Roman" w:hAnsi="Times New Roman" w:cs="Times New Roman"/>
          <w:sz w:val="24"/>
          <w:szCs w:val="24"/>
        </w:rPr>
        <w:t xml:space="preserve">609 </w:t>
      </w:r>
      <w:r>
        <w:rPr>
          <w:rFonts w:ascii="Times New Roman" w:hAnsi="Times New Roman" w:cs="Times New Roman"/>
          <w:sz w:val="24"/>
          <w:szCs w:val="24"/>
        </w:rPr>
        <w:t>as Park’s crime was a felony</w:t>
      </w:r>
      <w:r w:rsidR="00E34F7B">
        <w:rPr>
          <w:rFonts w:ascii="Times New Roman" w:hAnsi="Times New Roman" w:cs="Times New Roman"/>
          <w:sz w:val="24"/>
          <w:szCs w:val="24"/>
        </w:rPr>
        <w:t xml:space="preserve">; it involved dishonesty or false statements; not more than ten years has elapsed since the conviction; and the probative </w:t>
      </w:r>
      <w:r w:rsidR="00F73E66">
        <w:rPr>
          <w:rFonts w:ascii="Times New Roman" w:hAnsi="Times New Roman" w:cs="Times New Roman"/>
          <w:sz w:val="24"/>
          <w:szCs w:val="24"/>
        </w:rPr>
        <w:t xml:space="preserve">impeachment </w:t>
      </w:r>
      <w:r w:rsidR="00E34F7B">
        <w:rPr>
          <w:rFonts w:ascii="Times New Roman" w:hAnsi="Times New Roman" w:cs="Times New Roman"/>
          <w:sz w:val="24"/>
          <w:szCs w:val="24"/>
        </w:rPr>
        <w:t>value outweighs the prejudicial effect</w:t>
      </w:r>
      <w:r w:rsidR="0064049C">
        <w:rPr>
          <w:rFonts w:ascii="Times New Roman" w:hAnsi="Times New Roman" w:cs="Times New Roman"/>
          <w:sz w:val="24"/>
          <w:szCs w:val="24"/>
        </w:rPr>
        <w:t xml:space="preserve">.  </w:t>
      </w:r>
      <w:r w:rsidR="0016482F">
        <w:rPr>
          <w:rFonts w:ascii="Times New Roman" w:hAnsi="Times New Roman" w:cs="Times New Roman"/>
          <w:sz w:val="24"/>
          <w:szCs w:val="24"/>
        </w:rPr>
        <w:t>Pearson’s counsel also introduced as evidence the 1999 civil proceeding ruling in Collin County, Texas and the 2010 Texas Securities Board rulings.</w:t>
      </w:r>
    </w:p>
    <w:p w:rsidR="0064049C" w:rsidRDefault="00872F64" w:rsidP="008246B2">
      <w:pPr>
        <w:spacing w:line="480" w:lineRule="auto"/>
        <w:ind w:right="720"/>
        <w:rPr>
          <w:rFonts w:ascii="Times New Roman" w:hAnsi="Times New Roman" w:cs="Times New Roman"/>
          <w:sz w:val="24"/>
          <w:szCs w:val="24"/>
        </w:rPr>
      </w:pPr>
      <w:r>
        <w:rPr>
          <w:rFonts w:ascii="Times New Roman" w:hAnsi="Times New Roman" w:cs="Times New Roman"/>
          <w:sz w:val="24"/>
          <w:szCs w:val="24"/>
        </w:rPr>
        <w:tab/>
        <w:t>T</w:t>
      </w:r>
      <w:r w:rsidR="0016482F">
        <w:rPr>
          <w:rFonts w:ascii="Times New Roman" w:hAnsi="Times New Roman" w:cs="Times New Roman"/>
          <w:sz w:val="24"/>
          <w:szCs w:val="24"/>
        </w:rPr>
        <w:t>he Court deems Park impeached</w:t>
      </w:r>
      <w:r>
        <w:rPr>
          <w:rFonts w:ascii="Times New Roman" w:hAnsi="Times New Roman" w:cs="Times New Roman"/>
          <w:sz w:val="24"/>
          <w:szCs w:val="24"/>
        </w:rPr>
        <w:t>,</w:t>
      </w:r>
      <w:r w:rsidR="0016482F">
        <w:rPr>
          <w:rFonts w:ascii="Times New Roman" w:hAnsi="Times New Roman" w:cs="Times New Roman"/>
          <w:sz w:val="24"/>
          <w:szCs w:val="24"/>
        </w:rPr>
        <w:t xml:space="preserve"> not credible</w:t>
      </w:r>
      <w:r w:rsidR="002619A5">
        <w:rPr>
          <w:rFonts w:ascii="Times New Roman" w:hAnsi="Times New Roman" w:cs="Times New Roman"/>
          <w:sz w:val="24"/>
          <w:szCs w:val="24"/>
        </w:rPr>
        <w:t xml:space="preserve"> in this case and generally dishonest</w:t>
      </w:r>
      <w:r w:rsidR="0016482F">
        <w:rPr>
          <w:rFonts w:ascii="Times New Roman" w:hAnsi="Times New Roman" w:cs="Times New Roman"/>
          <w:sz w:val="24"/>
          <w:szCs w:val="24"/>
        </w:rPr>
        <w:t xml:space="preserve">.  However, such evidence may not be considered to </w:t>
      </w:r>
      <w:r w:rsidR="00944552">
        <w:rPr>
          <w:rFonts w:ascii="Times New Roman" w:hAnsi="Times New Roman" w:cs="Times New Roman"/>
          <w:sz w:val="24"/>
          <w:szCs w:val="24"/>
        </w:rPr>
        <w:t>demonstrate that</w:t>
      </w:r>
      <w:r w:rsidR="0016482F">
        <w:rPr>
          <w:rFonts w:ascii="Times New Roman" w:hAnsi="Times New Roman" w:cs="Times New Roman"/>
          <w:sz w:val="24"/>
          <w:szCs w:val="24"/>
        </w:rPr>
        <w:t xml:space="preserve"> Park acted in conformity </w:t>
      </w:r>
      <w:r w:rsidR="00944552">
        <w:rPr>
          <w:rFonts w:ascii="Times New Roman" w:hAnsi="Times New Roman" w:cs="Times New Roman"/>
          <w:sz w:val="24"/>
          <w:szCs w:val="24"/>
        </w:rPr>
        <w:t>with his criminal history</w:t>
      </w:r>
      <w:r w:rsidR="0016482F">
        <w:rPr>
          <w:rFonts w:ascii="Times New Roman" w:hAnsi="Times New Roman" w:cs="Times New Roman"/>
          <w:sz w:val="24"/>
          <w:szCs w:val="24"/>
        </w:rPr>
        <w:t xml:space="preserve"> </w:t>
      </w:r>
      <w:r w:rsidR="0057771B">
        <w:rPr>
          <w:rFonts w:ascii="Times New Roman" w:hAnsi="Times New Roman" w:cs="Times New Roman"/>
          <w:sz w:val="24"/>
          <w:szCs w:val="24"/>
        </w:rPr>
        <w:t xml:space="preserve">or his prior civil cases </w:t>
      </w:r>
      <w:r w:rsidR="00F73E66">
        <w:rPr>
          <w:rFonts w:ascii="Times New Roman" w:hAnsi="Times New Roman" w:cs="Times New Roman"/>
          <w:sz w:val="24"/>
          <w:szCs w:val="24"/>
        </w:rPr>
        <w:t xml:space="preserve">as </w:t>
      </w:r>
      <w:r>
        <w:rPr>
          <w:rFonts w:ascii="Times New Roman" w:hAnsi="Times New Roman" w:cs="Times New Roman"/>
          <w:sz w:val="24"/>
          <w:szCs w:val="24"/>
        </w:rPr>
        <w:t xml:space="preserve">such is prohibited by </w:t>
      </w:r>
      <w:r w:rsidR="0057771B">
        <w:rPr>
          <w:rFonts w:ascii="Times New Roman" w:hAnsi="Times New Roman" w:cs="Times New Roman"/>
          <w:sz w:val="24"/>
          <w:szCs w:val="24"/>
        </w:rPr>
        <w:t xml:space="preserve">the </w:t>
      </w:r>
      <w:r w:rsidR="0016482F">
        <w:rPr>
          <w:rFonts w:ascii="Times New Roman" w:hAnsi="Times New Roman" w:cs="Times New Roman"/>
          <w:sz w:val="24"/>
          <w:szCs w:val="24"/>
        </w:rPr>
        <w:t>Code of Evidence</w:t>
      </w:r>
      <w:r w:rsidR="00F73E66">
        <w:rPr>
          <w:rFonts w:ascii="Times New Roman" w:hAnsi="Times New Roman" w:cs="Times New Roman"/>
          <w:sz w:val="24"/>
          <w:szCs w:val="24"/>
        </w:rPr>
        <w:t>.</w:t>
      </w:r>
      <w:r w:rsidR="00F73E66">
        <w:rPr>
          <w:rStyle w:val="FootnoteReference"/>
          <w:rFonts w:ascii="Times New Roman" w:hAnsi="Times New Roman" w:cs="Times New Roman"/>
          <w:sz w:val="24"/>
          <w:szCs w:val="24"/>
        </w:rPr>
        <w:footnoteReference w:id="6"/>
      </w:r>
      <w:r w:rsidR="00F73E66">
        <w:rPr>
          <w:rFonts w:ascii="Times New Roman" w:hAnsi="Times New Roman" w:cs="Times New Roman"/>
          <w:sz w:val="24"/>
          <w:szCs w:val="24"/>
        </w:rPr>
        <w:t xml:space="preserve">  </w:t>
      </w:r>
      <w:r w:rsidR="002619A5">
        <w:rPr>
          <w:rFonts w:ascii="Times New Roman" w:hAnsi="Times New Roman" w:cs="Times New Roman"/>
          <w:sz w:val="24"/>
          <w:szCs w:val="24"/>
        </w:rPr>
        <w:t>Stated differently, t</w:t>
      </w:r>
      <w:r w:rsidR="0016482F">
        <w:rPr>
          <w:rFonts w:ascii="Times New Roman" w:hAnsi="Times New Roman" w:cs="Times New Roman"/>
          <w:sz w:val="24"/>
          <w:szCs w:val="24"/>
        </w:rPr>
        <w:t xml:space="preserve">he conviction cannot be extended in this civil proceeding to necessarily </w:t>
      </w:r>
      <w:r>
        <w:rPr>
          <w:rFonts w:ascii="Times New Roman" w:hAnsi="Times New Roman" w:cs="Times New Roman"/>
          <w:sz w:val="24"/>
          <w:szCs w:val="24"/>
        </w:rPr>
        <w:t xml:space="preserve">demonstrate </w:t>
      </w:r>
      <w:r w:rsidR="0016482F">
        <w:rPr>
          <w:rFonts w:ascii="Times New Roman" w:hAnsi="Times New Roman" w:cs="Times New Roman"/>
          <w:sz w:val="24"/>
          <w:szCs w:val="24"/>
        </w:rPr>
        <w:t xml:space="preserve">that Park acted in this case in conformity with his </w:t>
      </w:r>
      <w:r w:rsidR="002619A5">
        <w:rPr>
          <w:rFonts w:ascii="Times New Roman" w:hAnsi="Times New Roman" w:cs="Times New Roman"/>
          <w:sz w:val="24"/>
          <w:szCs w:val="24"/>
        </w:rPr>
        <w:t xml:space="preserve">criminal act </w:t>
      </w:r>
      <w:r w:rsidR="0016482F">
        <w:rPr>
          <w:rFonts w:ascii="Times New Roman" w:hAnsi="Times New Roman" w:cs="Times New Roman"/>
          <w:sz w:val="24"/>
          <w:szCs w:val="24"/>
        </w:rPr>
        <w:t xml:space="preserve">or in accord with his prior civil cases.  </w:t>
      </w:r>
    </w:p>
    <w:p w:rsidR="0016482F" w:rsidRDefault="00872F64" w:rsidP="0064049C">
      <w:pPr>
        <w:spacing w:line="480" w:lineRule="auto"/>
        <w:ind w:right="720" w:firstLine="720"/>
        <w:rPr>
          <w:rFonts w:ascii="Times New Roman" w:hAnsi="Times New Roman" w:cs="Times New Roman"/>
          <w:sz w:val="24"/>
          <w:szCs w:val="24"/>
        </w:rPr>
      </w:pPr>
      <w:r>
        <w:rPr>
          <w:rFonts w:ascii="Times New Roman" w:hAnsi="Times New Roman" w:cs="Times New Roman"/>
          <w:sz w:val="24"/>
          <w:szCs w:val="24"/>
        </w:rPr>
        <w:t>While</w:t>
      </w:r>
      <w:r w:rsidR="0016482F">
        <w:rPr>
          <w:rFonts w:ascii="Times New Roman" w:hAnsi="Times New Roman" w:cs="Times New Roman"/>
          <w:sz w:val="24"/>
          <w:szCs w:val="24"/>
        </w:rPr>
        <w:t xml:space="preserve"> Pearson is a credible</w:t>
      </w:r>
      <w:r w:rsidR="00F73E66">
        <w:rPr>
          <w:rFonts w:ascii="Times New Roman" w:hAnsi="Times New Roman" w:cs="Times New Roman"/>
          <w:sz w:val="24"/>
          <w:szCs w:val="24"/>
        </w:rPr>
        <w:t xml:space="preserve"> and </w:t>
      </w:r>
      <w:r w:rsidR="0016482F">
        <w:rPr>
          <w:rFonts w:ascii="Times New Roman" w:hAnsi="Times New Roman" w:cs="Times New Roman"/>
          <w:sz w:val="24"/>
          <w:szCs w:val="24"/>
        </w:rPr>
        <w:t>nice man</w:t>
      </w:r>
      <w:r>
        <w:rPr>
          <w:rFonts w:ascii="Times New Roman" w:hAnsi="Times New Roman" w:cs="Times New Roman"/>
          <w:sz w:val="24"/>
          <w:szCs w:val="24"/>
        </w:rPr>
        <w:t xml:space="preserve">, he </w:t>
      </w:r>
      <w:r w:rsidR="002619A5">
        <w:rPr>
          <w:rFonts w:ascii="Times New Roman" w:hAnsi="Times New Roman" w:cs="Times New Roman"/>
          <w:sz w:val="24"/>
          <w:szCs w:val="24"/>
        </w:rPr>
        <w:t xml:space="preserve">at times </w:t>
      </w:r>
      <w:r w:rsidR="00F73E66">
        <w:rPr>
          <w:rFonts w:ascii="Times New Roman" w:hAnsi="Times New Roman" w:cs="Times New Roman"/>
          <w:sz w:val="24"/>
          <w:szCs w:val="24"/>
        </w:rPr>
        <w:t xml:space="preserve">appeared </w:t>
      </w:r>
      <w:r w:rsidR="0016482F">
        <w:rPr>
          <w:rFonts w:ascii="Times New Roman" w:hAnsi="Times New Roman" w:cs="Times New Roman"/>
          <w:sz w:val="24"/>
          <w:szCs w:val="24"/>
        </w:rPr>
        <w:t xml:space="preserve">unclear in his testimony, inconsistent with regard to allegations </w:t>
      </w:r>
      <w:r w:rsidR="000347D5">
        <w:rPr>
          <w:rFonts w:ascii="Times New Roman" w:hAnsi="Times New Roman" w:cs="Times New Roman"/>
          <w:sz w:val="24"/>
          <w:szCs w:val="24"/>
        </w:rPr>
        <w:t xml:space="preserve">in his petition and prior statements in his deposition-blaming this lack of clarity in both deposition and trial on “jet lag”.  </w:t>
      </w:r>
      <w:r w:rsidR="0064049C">
        <w:rPr>
          <w:rFonts w:ascii="Times New Roman" w:hAnsi="Times New Roman" w:cs="Times New Roman"/>
          <w:sz w:val="24"/>
          <w:szCs w:val="24"/>
        </w:rPr>
        <w:t>In a tri</w:t>
      </w:r>
      <w:r w:rsidR="00473CEF">
        <w:rPr>
          <w:rFonts w:ascii="Times New Roman" w:hAnsi="Times New Roman" w:cs="Times New Roman"/>
          <w:sz w:val="24"/>
          <w:szCs w:val="24"/>
        </w:rPr>
        <w:t>a</w:t>
      </w:r>
      <w:r w:rsidR="0064049C">
        <w:rPr>
          <w:rFonts w:ascii="Times New Roman" w:hAnsi="Times New Roman" w:cs="Times New Roman"/>
          <w:sz w:val="24"/>
          <w:szCs w:val="24"/>
        </w:rPr>
        <w:t xml:space="preserve">l where he is seeking an award of more than half a million dollars, </w:t>
      </w:r>
      <w:r w:rsidR="00F73E66">
        <w:rPr>
          <w:rFonts w:ascii="Times New Roman" w:hAnsi="Times New Roman" w:cs="Times New Roman"/>
          <w:sz w:val="24"/>
          <w:szCs w:val="24"/>
        </w:rPr>
        <w:t xml:space="preserve">Pearson’s </w:t>
      </w:r>
      <w:r>
        <w:rPr>
          <w:rFonts w:ascii="Times New Roman" w:hAnsi="Times New Roman" w:cs="Times New Roman"/>
          <w:sz w:val="24"/>
          <w:szCs w:val="24"/>
        </w:rPr>
        <w:t xml:space="preserve">inability to provide compelling testimony coupled with the lack of expert testimony and his </w:t>
      </w:r>
      <w:r w:rsidR="0057771B">
        <w:rPr>
          <w:rFonts w:ascii="Times New Roman" w:hAnsi="Times New Roman" w:cs="Times New Roman"/>
          <w:sz w:val="24"/>
          <w:szCs w:val="24"/>
        </w:rPr>
        <w:t xml:space="preserve">choice </w:t>
      </w:r>
      <w:r w:rsidR="0057771B">
        <w:rPr>
          <w:rFonts w:ascii="Times New Roman" w:hAnsi="Times New Roman" w:cs="Times New Roman"/>
          <w:sz w:val="24"/>
          <w:szCs w:val="24"/>
        </w:rPr>
        <w:lastRenderedPageBreak/>
        <w:t xml:space="preserve">not </w:t>
      </w:r>
      <w:r>
        <w:rPr>
          <w:rFonts w:ascii="Times New Roman" w:hAnsi="Times New Roman" w:cs="Times New Roman"/>
          <w:sz w:val="24"/>
          <w:szCs w:val="24"/>
        </w:rPr>
        <w:t xml:space="preserve">to “ascertain the truth” by exercising a minimal amount of diligence leads the Court to conclude that </w:t>
      </w:r>
      <w:r w:rsidR="00F73E66">
        <w:rPr>
          <w:rFonts w:ascii="Times New Roman" w:hAnsi="Times New Roman" w:cs="Times New Roman"/>
          <w:sz w:val="24"/>
          <w:szCs w:val="24"/>
        </w:rPr>
        <w:t xml:space="preserve">he </w:t>
      </w:r>
      <w:r>
        <w:rPr>
          <w:rFonts w:ascii="Times New Roman" w:hAnsi="Times New Roman" w:cs="Times New Roman"/>
          <w:sz w:val="24"/>
          <w:szCs w:val="24"/>
        </w:rPr>
        <w:t xml:space="preserve">has </w:t>
      </w:r>
      <w:r w:rsidR="0064049C">
        <w:rPr>
          <w:rFonts w:ascii="Times New Roman" w:hAnsi="Times New Roman" w:cs="Times New Roman"/>
          <w:sz w:val="24"/>
          <w:szCs w:val="24"/>
        </w:rPr>
        <w:t>not carried his burden of proof.</w:t>
      </w:r>
    </w:p>
    <w:p w:rsidR="00872F64" w:rsidRPr="00872F64" w:rsidRDefault="00473CEF" w:rsidP="00872F64">
      <w:pPr>
        <w:spacing w:line="480" w:lineRule="auto"/>
        <w:ind w:right="720"/>
        <w:jc w:val="center"/>
        <w:rPr>
          <w:rFonts w:ascii="Times New Roman" w:hAnsi="Times New Roman" w:cs="Times New Roman"/>
          <w:b/>
          <w:sz w:val="24"/>
          <w:szCs w:val="24"/>
          <w:u w:val="single"/>
        </w:rPr>
      </w:pPr>
      <w:r>
        <w:rPr>
          <w:rFonts w:ascii="Times New Roman" w:hAnsi="Times New Roman" w:cs="Times New Roman"/>
          <w:b/>
          <w:sz w:val="24"/>
          <w:szCs w:val="24"/>
          <w:u w:val="single"/>
        </w:rPr>
        <w:t>CHOICE OF LAW</w:t>
      </w:r>
    </w:p>
    <w:p w:rsidR="000347D5" w:rsidRPr="00473CEF" w:rsidRDefault="00F73E66" w:rsidP="00473CEF">
      <w:pPr>
        <w:spacing w:line="480" w:lineRule="auto"/>
        <w:ind w:right="720" w:firstLine="720"/>
        <w:rPr>
          <w:rFonts w:ascii="Times New Roman" w:hAnsi="Times New Roman" w:cs="Times New Roman"/>
          <w:sz w:val="24"/>
          <w:szCs w:val="24"/>
        </w:rPr>
      </w:pPr>
      <w:r w:rsidRPr="00473CEF">
        <w:rPr>
          <w:rFonts w:ascii="Times New Roman" w:hAnsi="Times New Roman" w:cs="Times New Roman"/>
          <w:sz w:val="24"/>
          <w:szCs w:val="24"/>
        </w:rPr>
        <w:t xml:space="preserve">Pearson agreed to </w:t>
      </w:r>
      <w:r w:rsidR="000347D5" w:rsidRPr="00473CEF">
        <w:rPr>
          <w:rFonts w:ascii="Times New Roman" w:hAnsi="Times New Roman" w:cs="Times New Roman"/>
          <w:sz w:val="24"/>
          <w:szCs w:val="24"/>
        </w:rPr>
        <w:t>Section 11(C) of the contract</w:t>
      </w:r>
      <w:r w:rsidR="0064049C" w:rsidRPr="00473CEF">
        <w:rPr>
          <w:rFonts w:ascii="Times New Roman" w:hAnsi="Times New Roman" w:cs="Times New Roman"/>
          <w:sz w:val="24"/>
          <w:szCs w:val="24"/>
        </w:rPr>
        <w:t xml:space="preserve"> to purchase and operating agreement</w:t>
      </w:r>
      <w:r w:rsidR="002619A5">
        <w:rPr>
          <w:rFonts w:ascii="Times New Roman" w:hAnsi="Times New Roman" w:cs="Times New Roman"/>
          <w:sz w:val="24"/>
          <w:szCs w:val="24"/>
        </w:rPr>
        <w:t>s</w:t>
      </w:r>
      <w:r w:rsidR="0064049C" w:rsidRPr="00473CEF">
        <w:rPr>
          <w:rFonts w:ascii="Times New Roman" w:hAnsi="Times New Roman" w:cs="Times New Roman"/>
          <w:sz w:val="24"/>
          <w:szCs w:val="24"/>
        </w:rPr>
        <w:t xml:space="preserve">, as follows: </w:t>
      </w:r>
      <w:r w:rsidR="00437452" w:rsidRPr="00473CEF">
        <w:rPr>
          <w:rFonts w:ascii="Times New Roman" w:hAnsi="Times New Roman" w:cs="Times New Roman"/>
          <w:sz w:val="24"/>
          <w:szCs w:val="24"/>
        </w:rPr>
        <w:t xml:space="preserve">“[t]he laws of the State of Texas shall govern the validity, enforcement and interpretation” with regard to any dispute between the parties and that the “exclusive venue for any legal action arising out of [the] agreement shall be Dallas County, Texas”.  Yet, incredibly, Pearson now </w:t>
      </w:r>
      <w:r w:rsidR="002B1BDE">
        <w:rPr>
          <w:rFonts w:ascii="Times New Roman" w:hAnsi="Times New Roman" w:cs="Times New Roman"/>
          <w:sz w:val="24"/>
          <w:szCs w:val="24"/>
        </w:rPr>
        <w:t xml:space="preserve">requests a </w:t>
      </w:r>
      <w:r w:rsidR="00437452" w:rsidRPr="00473CEF">
        <w:rPr>
          <w:rFonts w:ascii="Times New Roman" w:hAnsi="Times New Roman" w:cs="Times New Roman"/>
          <w:sz w:val="24"/>
          <w:szCs w:val="24"/>
        </w:rPr>
        <w:t xml:space="preserve">Louisiana state court disregard what </w:t>
      </w:r>
      <w:r w:rsidR="002B1BDE">
        <w:rPr>
          <w:rFonts w:ascii="Times New Roman" w:hAnsi="Times New Roman" w:cs="Times New Roman"/>
          <w:sz w:val="24"/>
          <w:szCs w:val="24"/>
        </w:rPr>
        <w:t xml:space="preserve">he </w:t>
      </w:r>
      <w:r w:rsidR="00473CEF">
        <w:rPr>
          <w:rFonts w:ascii="Times New Roman" w:hAnsi="Times New Roman" w:cs="Times New Roman"/>
          <w:sz w:val="24"/>
          <w:szCs w:val="24"/>
        </w:rPr>
        <w:t>sig</w:t>
      </w:r>
      <w:r w:rsidR="002619A5">
        <w:rPr>
          <w:rFonts w:ascii="Times New Roman" w:hAnsi="Times New Roman" w:cs="Times New Roman"/>
          <w:sz w:val="24"/>
          <w:szCs w:val="24"/>
        </w:rPr>
        <w:t>n</w:t>
      </w:r>
      <w:r w:rsidR="00473CEF">
        <w:rPr>
          <w:rFonts w:ascii="Times New Roman" w:hAnsi="Times New Roman" w:cs="Times New Roman"/>
          <w:sz w:val="24"/>
          <w:szCs w:val="24"/>
        </w:rPr>
        <w:t xml:space="preserve">ed and agreed upon, </w:t>
      </w:r>
      <w:r w:rsidR="002B1BDE">
        <w:rPr>
          <w:rFonts w:ascii="Times New Roman" w:hAnsi="Times New Roman" w:cs="Times New Roman"/>
          <w:sz w:val="24"/>
          <w:szCs w:val="24"/>
        </w:rPr>
        <w:t xml:space="preserve">praying </w:t>
      </w:r>
      <w:r w:rsidR="00473CEF">
        <w:rPr>
          <w:rFonts w:ascii="Times New Roman" w:hAnsi="Times New Roman" w:cs="Times New Roman"/>
          <w:sz w:val="24"/>
          <w:szCs w:val="24"/>
        </w:rPr>
        <w:t>that this Louisiana court apply Louisiana laws</w:t>
      </w:r>
      <w:r w:rsidR="0057771B">
        <w:rPr>
          <w:rFonts w:ascii="Times New Roman" w:hAnsi="Times New Roman" w:cs="Times New Roman"/>
          <w:sz w:val="24"/>
          <w:szCs w:val="24"/>
        </w:rPr>
        <w:t xml:space="preserve"> and render </w:t>
      </w:r>
      <w:r w:rsidR="00473CEF">
        <w:rPr>
          <w:rFonts w:ascii="Times New Roman" w:hAnsi="Times New Roman" w:cs="Times New Roman"/>
          <w:sz w:val="24"/>
          <w:szCs w:val="24"/>
        </w:rPr>
        <w:t xml:space="preserve">a judgment of more than half-million dollars.  </w:t>
      </w:r>
      <w:r w:rsidR="002619A5">
        <w:rPr>
          <w:rFonts w:ascii="Times New Roman" w:hAnsi="Times New Roman" w:cs="Times New Roman"/>
          <w:sz w:val="24"/>
          <w:szCs w:val="24"/>
        </w:rPr>
        <w:t>T</w:t>
      </w:r>
      <w:r w:rsidR="00473CEF">
        <w:rPr>
          <w:rFonts w:ascii="Times New Roman" w:hAnsi="Times New Roman" w:cs="Times New Roman"/>
          <w:sz w:val="24"/>
          <w:szCs w:val="24"/>
        </w:rPr>
        <w:t>his Court concludes</w:t>
      </w:r>
      <w:r w:rsidR="0064049C" w:rsidRPr="00473CEF">
        <w:rPr>
          <w:rFonts w:ascii="Times New Roman" w:hAnsi="Times New Roman" w:cs="Times New Roman"/>
          <w:sz w:val="24"/>
          <w:szCs w:val="24"/>
        </w:rPr>
        <w:t xml:space="preserve"> that </w:t>
      </w:r>
      <w:r w:rsidR="000347D5" w:rsidRPr="00473CEF">
        <w:rPr>
          <w:rFonts w:ascii="Times New Roman" w:hAnsi="Times New Roman" w:cs="Times New Roman"/>
          <w:sz w:val="24"/>
          <w:szCs w:val="24"/>
        </w:rPr>
        <w:t xml:space="preserve">causes of action under the Louisiana Securities Act and the Louisiana Unfair Trade Practices Act are inappropriately pled in light of the fact that Pearson previously agreed that Texas law would apply </w:t>
      </w:r>
      <w:r w:rsidR="0064049C" w:rsidRPr="00473CEF">
        <w:rPr>
          <w:rFonts w:ascii="Times New Roman" w:hAnsi="Times New Roman" w:cs="Times New Roman"/>
          <w:sz w:val="24"/>
          <w:szCs w:val="24"/>
        </w:rPr>
        <w:t>and that</w:t>
      </w:r>
      <w:r w:rsidR="00437452" w:rsidRPr="00473CEF">
        <w:rPr>
          <w:rFonts w:ascii="Times New Roman" w:hAnsi="Times New Roman" w:cs="Times New Roman"/>
          <w:sz w:val="24"/>
          <w:szCs w:val="24"/>
        </w:rPr>
        <w:t xml:space="preserve"> venue would be proper in Dallas County, Texas.  </w:t>
      </w:r>
      <w:r w:rsidR="0064049C" w:rsidRPr="00473CEF">
        <w:rPr>
          <w:rFonts w:ascii="Times New Roman" w:hAnsi="Times New Roman" w:cs="Times New Roman"/>
          <w:sz w:val="24"/>
          <w:szCs w:val="24"/>
        </w:rPr>
        <w:t xml:space="preserve"> </w:t>
      </w:r>
      <w:r w:rsidR="00437452" w:rsidRPr="00473CEF">
        <w:rPr>
          <w:rFonts w:ascii="Times New Roman" w:hAnsi="Times New Roman" w:cs="Times New Roman"/>
          <w:sz w:val="24"/>
          <w:szCs w:val="24"/>
        </w:rPr>
        <w:t xml:space="preserve">The operating </w:t>
      </w:r>
      <w:r w:rsidR="0064049C" w:rsidRPr="00473CEF">
        <w:rPr>
          <w:rFonts w:ascii="Times New Roman" w:hAnsi="Times New Roman" w:cs="Times New Roman"/>
          <w:sz w:val="24"/>
          <w:szCs w:val="24"/>
        </w:rPr>
        <w:t xml:space="preserve">agreements, which </w:t>
      </w:r>
      <w:r w:rsidR="0057771B">
        <w:rPr>
          <w:rFonts w:ascii="Times New Roman" w:hAnsi="Times New Roman" w:cs="Times New Roman"/>
          <w:sz w:val="24"/>
          <w:szCs w:val="24"/>
        </w:rPr>
        <w:t xml:space="preserve">do </w:t>
      </w:r>
      <w:r w:rsidR="0064049C" w:rsidRPr="00473CEF">
        <w:rPr>
          <w:rFonts w:ascii="Times New Roman" w:hAnsi="Times New Roman" w:cs="Times New Roman"/>
          <w:sz w:val="24"/>
          <w:szCs w:val="24"/>
        </w:rPr>
        <w:t xml:space="preserve">reference Louisiana law, are irrelevant to the causes of action asserted in this lawsuit.  </w:t>
      </w:r>
    </w:p>
    <w:p w:rsidR="00872F64" w:rsidRPr="00872F64" w:rsidRDefault="00872F64" w:rsidP="00872F64">
      <w:pPr>
        <w:spacing w:line="480" w:lineRule="auto"/>
        <w:ind w:right="720"/>
        <w:jc w:val="center"/>
        <w:rPr>
          <w:rFonts w:ascii="Times New Roman" w:hAnsi="Times New Roman" w:cs="Times New Roman"/>
          <w:b/>
          <w:sz w:val="24"/>
          <w:szCs w:val="24"/>
          <w:u w:val="single"/>
        </w:rPr>
      </w:pPr>
      <w:r>
        <w:rPr>
          <w:rFonts w:ascii="Times New Roman" w:hAnsi="Times New Roman" w:cs="Times New Roman"/>
          <w:b/>
          <w:sz w:val="24"/>
          <w:szCs w:val="24"/>
          <w:u w:val="single"/>
        </w:rPr>
        <w:t>CONCLUSION</w:t>
      </w:r>
    </w:p>
    <w:p w:rsidR="00F73E66" w:rsidRDefault="00F73E66" w:rsidP="000347D5">
      <w:pPr>
        <w:spacing w:line="480" w:lineRule="auto"/>
        <w:ind w:right="720" w:firstLine="720"/>
        <w:rPr>
          <w:rFonts w:ascii="Times New Roman" w:hAnsi="Times New Roman" w:cs="Times New Roman"/>
          <w:sz w:val="24"/>
          <w:szCs w:val="24"/>
        </w:rPr>
      </w:pPr>
      <w:r>
        <w:rPr>
          <w:rFonts w:ascii="Times New Roman" w:hAnsi="Times New Roman" w:cs="Times New Roman"/>
          <w:sz w:val="24"/>
          <w:szCs w:val="24"/>
        </w:rPr>
        <w:t xml:space="preserve">The Court believes that Pearson is a </w:t>
      </w:r>
      <w:r w:rsidR="00473CEF">
        <w:rPr>
          <w:rFonts w:ascii="Times New Roman" w:hAnsi="Times New Roman" w:cs="Times New Roman"/>
          <w:sz w:val="24"/>
          <w:szCs w:val="24"/>
        </w:rPr>
        <w:t>gentleman</w:t>
      </w:r>
      <w:r w:rsidR="00E8526E">
        <w:rPr>
          <w:rFonts w:ascii="Times New Roman" w:hAnsi="Times New Roman" w:cs="Times New Roman"/>
          <w:sz w:val="24"/>
          <w:szCs w:val="24"/>
        </w:rPr>
        <w:t xml:space="preserve"> who in this particular case was </w:t>
      </w:r>
      <w:r w:rsidR="0064049C">
        <w:rPr>
          <w:rFonts w:ascii="Times New Roman" w:hAnsi="Times New Roman" w:cs="Times New Roman"/>
          <w:sz w:val="24"/>
          <w:szCs w:val="24"/>
        </w:rPr>
        <w:t xml:space="preserve">blinded </w:t>
      </w:r>
      <w:r>
        <w:rPr>
          <w:rFonts w:ascii="Times New Roman" w:hAnsi="Times New Roman" w:cs="Times New Roman"/>
          <w:sz w:val="24"/>
          <w:szCs w:val="24"/>
        </w:rPr>
        <w:t xml:space="preserve">by greed and encumbered by arrogance.  The Court believes that Park is </w:t>
      </w:r>
      <w:r w:rsidR="00473CEF">
        <w:rPr>
          <w:rFonts w:ascii="Times New Roman" w:hAnsi="Times New Roman" w:cs="Times New Roman"/>
          <w:sz w:val="24"/>
          <w:szCs w:val="24"/>
        </w:rPr>
        <w:t>anything but a gentleman;</w:t>
      </w:r>
      <w:r>
        <w:rPr>
          <w:rFonts w:ascii="Times New Roman" w:hAnsi="Times New Roman" w:cs="Times New Roman"/>
          <w:sz w:val="24"/>
          <w:szCs w:val="24"/>
        </w:rPr>
        <w:t xml:space="preserve"> however, as third party defendant, </w:t>
      </w:r>
      <w:r w:rsidR="0064049C">
        <w:rPr>
          <w:rFonts w:ascii="Times New Roman" w:hAnsi="Times New Roman" w:cs="Times New Roman"/>
          <w:sz w:val="24"/>
          <w:szCs w:val="24"/>
        </w:rPr>
        <w:t xml:space="preserve">Park </w:t>
      </w:r>
      <w:r>
        <w:rPr>
          <w:rFonts w:ascii="Times New Roman" w:hAnsi="Times New Roman" w:cs="Times New Roman"/>
          <w:sz w:val="24"/>
          <w:szCs w:val="24"/>
        </w:rPr>
        <w:t xml:space="preserve">has no burden of proof.  </w:t>
      </w:r>
      <w:r w:rsidR="00D44AE0">
        <w:rPr>
          <w:rFonts w:ascii="Times New Roman" w:hAnsi="Times New Roman" w:cs="Times New Roman"/>
          <w:sz w:val="24"/>
          <w:szCs w:val="24"/>
        </w:rPr>
        <w:t>In his claim for an award of more than a half-million dollars, t</w:t>
      </w:r>
      <w:r>
        <w:rPr>
          <w:rFonts w:ascii="Times New Roman" w:hAnsi="Times New Roman" w:cs="Times New Roman"/>
          <w:sz w:val="24"/>
          <w:szCs w:val="24"/>
        </w:rPr>
        <w:t xml:space="preserve">he burden of proof is on Pearson; </w:t>
      </w:r>
      <w:bookmarkStart w:id="0" w:name="_GoBack"/>
      <w:bookmarkEnd w:id="0"/>
      <w:r>
        <w:rPr>
          <w:rFonts w:ascii="Times New Roman" w:hAnsi="Times New Roman" w:cs="Times New Roman"/>
          <w:sz w:val="24"/>
          <w:szCs w:val="24"/>
        </w:rPr>
        <w:t>sadly</w:t>
      </w:r>
      <w:r w:rsidR="0064049C">
        <w:rPr>
          <w:rFonts w:ascii="Times New Roman" w:hAnsi="Times New Roman" w:cs="Times New Roman"/>
          <w:sz w:val="24"/>
          <w:szCs w:val="24"/>
        </w:rPr>
        <w:t>,</w:t>
      </w:r>
      <w:r>
        <w:rPr>
          <w:rFonts w:ascii="Times New Roman" w:hAnsi="Times New Roman" w:cs="Times New Roman"/>
          <w:sz w:val="24"/>
          <w:szCs w:val="24"/>
        </w:rPr>
        <w:t xml:space="preserve"> it is a burden which he has not met.  </w:t>
      </w:r>
    </w:p>
    <w:p w:rsidR="00B3380A" w:rsidRDefault="00B3380A" w:rsidP="000347D5">
      <w:pPr>
        <w:spacing w:line="480" w:lineRule="auto"/>
        <w:ind w:right="720" w:firstLine="720"/>
        <w:rPr>
          <w:rFonts w:ascii="Times New Roman" w:hAnsi="Times New Roman" w:cs="Times New Roman"/>
          <w:sz w:val="24"/>
          <w:szCs w:val="24"/>
        </w:rPr>
      </w:pPr>
      <w:r>
        <w:rPr>
          <w:rFonts w:ascii="Times New Roman" w:hAnsi="Times New Roman" w:cs="Times New Roman"/>
          <w:sz w:val="24"/>
          <w:szCs w:val="24"/>
        </w:rPr>
        <w:t>Counsel shall submit a formal Judgment in accordance with La. Dist. Ct. R. 9.5.</w:t>
      </w:r>
    </w:p>
    <w:p w:rsidR="009A3348" w:rsidRDefault="00D44AE0" w:rsidP="009A3348">
      <w:pPr>
        <w:spacing w:line="480" w:lineRule="auto"/>
        <w:ind w:firstLine="720"/>
        <w:rPr>
          <w:rFonts w:ascii="Times New Roman" w:hAnsi="Times New Roman" w:cs="Times New Roman"/>
          <w:sz w:val="24"/>
          <w:szCs w:val="24"/>
        </w:rPr>
      </w:pPr>
      <w:r>
        <w:rPr>
          <w:rFonts w:ascii="Times New Roman" w:hAnsi="Times New Roman" w:cs="Times New Roman"/>
          <w:sz w:val="24"/>
          <w:szCs w:val="24"/>
        </w:rPr>
        <w:t>S</w:t>
      </w:r>
      <w:r w:rsidR="009A3348">
        <w:rPr>
          <w:rFonts w:ascii="Times New Roman" w:hAnsi="Times New Roman" w:cs="Times New Roman"/>
          <w:sz w:val="24"/>
          <w:szCs w:val="24"/>
        </w:rPr>
        <w:t xml:space="preserve">igned this </w:t>
      </w:r>
      <w:r w:rsidR="0064049C">
        <w:rPr>
          <w:rFonts w:ascii="Times New Roman" w:hAnsi="Times New Roman" w:cs="Times New Roman"/>
          <w:sz w:val="24"/>
          <w:szCs w:val="24"/>
        </w:rPr>
        <w:t>2</w:t>
      </w:r>
      <w:r w:rsidR="0057771B">
        <w:rPr>
          <w:rFonts w:ascii="Times New Roman" w:hAnsi="Times New Roman" w:cs="Times New Roman"/>
          <w:sz w:val="24"/>
          <w:szCs w:val="24"/>
        </w:rPr>
        <w:t>6</w:t>
      </w:r>
      <w:r w:rsidR="0064049C" w:rsidRPr="0064049C">
        <w:rPr>
          <w:rFonts w:ascii="Times New Roman" w:hAnsi="Times New Roman" w:cs="Times New Roman"/>
          <w:sz w:val="24"/>
          <w:szCs w:val="24"/>
          <w:vertAlign w:val="superscript"/>
        </w:rPr>
        <w:t>th</w:t>
      </w:r>
      <w:r w:rsidR="0064049C">
        <w:rPr>
          <w:rFonts w:ascii="Times New Roman" w:hAnsi="Times New Roman" w:cs="Times New Roman"/>
          <w:sz w:val="24"/>
          <w:szCs w:val="24"/>
        </w:rPr>
        <w:t xml:space="preserve"> </w:t>
      </w:r>
      <w:r w:rsidR="009A3348">
        <w:rPr>
          <w:rFonts w:ascii="Times New Roman" w:hAnsi="Times New Roman" w:cs="Times New Roman"/>
          <w:sz w:val="24"/>
          <w:szCs w:val="24"/>
        </w:rPr>
        <w:t xml:space="preserve">day of April, 2011 in Shreveport, Caddo Parish, </w:t>
      </w:r>
      <w:proofErr w:type="gramStart"/>
      <w:r w:rsidR="009A3348">
        <w:rPr>
          <w:rFonts w:ascii="Times New Roman" w:hAnsi="Times New Roman" w:cs="Times New Roman"/>
          <w:sz w:val="24"/>
          <w:szCs w:val="24"/>
        </w:rPr>
        <w:t>Louisiana</w:t>
      </w:r>
      <w:proofErr w:type="gramEnd"/>
      <w:r w:rsidR="009A3348">
        <w:rPr>
          <w:rFonts w:ascii="Times New Roman" w:hAnsi="Times New Roman" w:cs="Times New Roman"/>
          <w:sz w:val="24"/>
          <w:szCs w:val="24"/>
        </w:rPr>
        <w:t>.</w:t>
      </w:r>
    </w:p>
    <w:p w:rsidR="0057771B" w:rsidRDefault="009A3348" w:rsidP="009A3348">
      <w:pPr>
        <w:rPr>
          <w:rFonts w:ascii="Times New Roman" w:hAnsi="Times New Roman" w:cs="Times New Roman"/>
          <w:sz w:val="24"/>
          <w:szCs w:val="24"/>
        </w:rPr>
      </w:pPr>
      <w:r>
        <w:rPr>
          <w:rFonts w:ascii="Times New Roman" w:hAnsi="Times New Roman" w:cs="Times New Roman"/>
          <w:sz w:val="24"/>
          <w:szCs w:val="24"/>
        </w:rPr>
        <w:tab/>
      </w:r>
    </w:p>
    <w:p w:rsidR="009A3348" w:rsidRDefault="0057771B" w:rsidP="009A3348">
      <w:pPr>
        <w:rPr>
          <w:rFonts w:ascii="Times New Roman" w:hAnsi="Times New Roman" w:cs="Times New Roman"/>
          <w:sz w:val="24"/>
          <w:szCs w:val="24"/>
        </w:rPr>
      </w:pPr>
      <w:r>
        <w:rPr>
          <w:rFonts w:ascii="Times New Roman" w:hAnsi="Times New Roman" w:cs="Times New Roman"/>
          <w:sz w:val="24"/>
          <w:szCs w:val="24"/>
        </w:rPr>
        <w:tab/>
      </w:r>
      <w:r w:rsidR="009A3348">
        <w:rPr>
          <w:rFonts w:ascii="Times New Roman" w:hAnsi="Times New Roman" w:cs="Times New Roman"/>
          <w:sz w:val="24"/>
          <w:szCs w:val="24"/>
        </w:rPr>
        <w:tab/>
      </w:r>
      <w:r w:rsidR="009A3348">
        <w:rPr>
          <w:rFonts w:ascii="Times New Roman" w:hAnsi="Times New Roman" w:cs="Times New Roman"/>
          <w:sz w:val="24"/>
          <w:szCs w:val="24"/>
        </w:rPr>
        <w:tab/>
      </w:r>
      <w:r w:rsidR="009A3348">
        <w:rPr>
          <w:rFonts w:ascii="Times New Roman" w:hAnsi="Times New Roman" w:cs="Times New Roman"/>
          <w:sz w:val="24"/>
          <w:szCs w:val="24"/>
        </w:rPr>
        <w:tab/>
      </w:r>
      <w:r w:rsidR="009A3348">
        <w:rPr>
          <w:rFonts w:ascii="Times New Roman" w:hAnsi="Times New Roman" w:cs="Times New Roman"/>
          <w:sz w:val="24"/>
          <w:szCs w:val="24"/>
        </w:rPr>
        <w:tab/>
      </w:r>
      <w:r w:rsidR="009A3348">
        <w:rPr>
          <w:rFonts w:ascii="Times New Roman" w:hAnsi="Times New Roman" w:cs="Times New Roman"/>
          <w:sz w:val="24"/>
          <w:szCs w:val="24"/>
        </w:rPr>
        <w:tab/>
      </w:r>
      <w:r w:rsidR="009A3348">
        <w:rPr>
          <w:rFonts w:ascii="Times New Roman" w:hAnsi="Times New Roman" w:cs="Times New Roman"/>
          <w:sz w:val="24"/>
          <w:szCs w:val="24"/>
        </w:rPr>
        <w:tab/>
      </w:r>
      <w:r w:rsidR="009A3348">
        <w:rPr>
          <w:rFonts w:ascii="Times New Roman" w:hAnsi="Times New Roman" w:cs="Times New Roman"/>
          <w:sz w:val="24"/>
          <w:szCs w:val="24"/>
        </w:rPr>
        <w:tab/>
        <w:t>__________________________</w:t>
      </w:r>
    </w:p>
    <w:p w:rsidR="009A3348" w:rsidRDefault="009A3348" w:rsidP="009A3348">
      <w:pPr>
        <w:ind w:firstLine="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SCOTT J. CRICHTON</w:t>
      </w:r>
    </w:p>
    <w:p w:rsidR="009A3348" w:rsidRDefault="00872F64" w:rsidP="00872F6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9A3348">
        <w:rPr>
          <w:rFonts w:ascii="Times New Roman" w:hAnsi="Times New Roman" w:cs="Times New Roman"/>
          <w:sz w:val="24"/>
          <w:szCs w:val="24"/>
        </w:rPr>
        <w:tab/>
      </w:r>
      <w:r w:rsidR="009A3348">
        <w:rPr>
          <w:rFonts w:ascii="Times New Roman" w:hAnsi="Times New Roman" w:cs="Times New Roman"/>
          <w:sz w:val="24"/>
          <w:szCs w:val="24"/>
        </w:rPr>
        <w:tab/>
      </w:r>
      <w:r w:rsidR="009A3348">
        <w:rPr>
          <w:rFonts w:ascii="Times New Roman" w:hAnsi="Times New Roman" w:cs="Times New Roman"/>
          <w:sz w:val="24"/>
          <w:szCs w:val="24"/>
        </w:rPr>
        <w:tab/>
      </w:r>
      <w:r w:rsidR="009A3348">
        <w:rPr>
          <w:rFonts w:ascii="Times New Roman" w:hAnsi="Times New Roman" w:cs="Times New Roman"/>
          <w:sz w:val="24"/>
          <w:szCs w:val="24"/>
        </w:rPr>
        <w:tab/>
      </w:r>
      <w:r w:rsidR="009A3348">
        <w:rPr>
          <w:rFonts w:ascii="Times New Roman" w:hAnsi="Times New Roman" w:cs="Times New Roman"/>
          <w:sz w:val="24"/>
          <w:szCs w:val="24"/>
        </w:rPr>
        <w:tab/>
        <w:t xml:space="preserve">         </w:t>
      </w:r>
      <w:r w:rsidR="009A3348">
        <w:rPr>
          <w:rFonts w:ascii="Times New Roman" w:hAnsi="Times New Roman" w:cs="Times New Roman"/>
          <w:sz w:val="24"/>
          <w:szCs w:val="24"/>
        </w:rPr>
        <w:tab/>
        <w:t xml:space="preserve">           DISTRICT JUDGE</w:t>
      </w:r>
    </w:p>
    <w:p w:rsidR="0057771B" w:rsidRDefault="0057771B" w:rsidP="009A3348">
      <w:pPr>
        <w:ind w:firstLine="720"/>
        <w:rPr>
          <w:rFonts w:ascii="Times New Roman" w:hAnsi="Times New Roman" w:cs="Times New Roman"/>
          <w:sz w:val="24"/>
          <w:szCs w:val="24"/>
          <w:u w:val="single"/>
        </w:rPr>
      </w:pPr>
    </w:p>
    <w:p w:rsidR="0057771B" w:rsidRDefault="0057771B" w:rsidP="009A3348">
      <w:pPr>
        <w:ind w:firstLine="720"/>
        <w:rPr>
          <w:rFonts w:ascii="Times New Roman" w:hAnsi="Times New Roman" w:cs="Times New Roman"/>
          <w:sz w:val="24"/>
          <w:szCs w:val="24"/>
          <w:u w:val="single"/>
        </w:rPr>
      </w:pPr>
    </w:p>
    <w:p w:rsidR="009A3348" w:rsidRDefault="009A3348" w:rsidP="009A3348">
      <w:pPr>
        <w:ind w:firstLine="720"/>
        <w:rPr>
          <w:rFonts w:ascii="Times New Roman" w:hAnsi="Times New Roman" w:cs="Times New Roman"/>
          <w:sz w:val="24"/>
          <w:szCs w:val="24"/>
        </w:rPr>
      </w:pPr>
      <w:r>
        <w:rPr>
          <w:rFonts w:ascii="Times New Roman" w:hAnsi="Times New Roman" w:cs="Times New Roman"/>
          <w:sz w:val="24"/>
          <w:szCs w:val="24"/>
          <w:u w:val="single"/>
        </w:rPr>
        <w:t>DISTRIBUTION</w:t>
      </w:r>
      <w:r>
        <w:rPr>
          <w:rFonts w:ascii="Times New Roman" w:hAnsi="Times New Roman" w:cs="Times New Roman"/>
          <w:sz w:val="24"/>
          <w:szCs w:val="24"/>
        </w:rPr>
        <w:t>:</w:t>
      </w:r>
    </w:p>
    <w:p w:rsidR="00D44AE0" w:rsidRDefault="00D44AE0" w:rsidP="009A3348">
      <w:pPr>
        <w:ind w:firstLine="720"/>
        <w:rPr>
          <w:rFonts w:ascii="Times New Roman" w:hAnsi="Times New Roman" w:cs="Times New Roman"/>
          <w:sz w:val="24"/>
          <w:szCs w:val="24"/>
        </w:rPr>
      </w:pPr>
    </w:p>
    <w:p w:rsidR="009A3348" w:rsidRDefault="009A3348" w:rsidP="009A3348">
      <w:pPr>
        <w:ind w:firstLine="720"/>
        <w:rPr>
          <w:rFonts w:ascii="Times New Roman" w:hAnsi="Times New Roman" w:cs="Times New Roman"/>
          <w:sz w:val="24"/>
          <w:szCs w:val="24"/>
        </w:rPr>
      </w:pPr>
      <w:r>
        <w:rPr>
          <w:rFonts w:ascii="Times New Roman" w:hAnsi="Times New Roman" w:cs="Times New Roman"/>
          <w:sz w:val="24"/>
          <w:szCs w:val="24"/>
        </w:rPr>
        <w:t xml:space="preserve">Frank H. </w:t>
      </w:r>
      <w:proofErr w:type="spellStart"/>
      <w:r>
        <w:rPr>
          <w:rFonts w:ascii="Times New Roman" w:hAnsi="Times New Roman" w:cs="Times New Roman"/>
          <w:sz w:val="24"/>
          <w:szCs w:val="24"/>
        </w:rPr>
        <w:t>Spruiell</w:t>
      </w:r>
      <w:proofErr w:type="spellEnd"/>
      <w:r>
        <w:rPr>
          <w:rFonts w:ascii="Times New Roman" w:hAnsi="Times New Roman" w:cs="Times New Roman"/>
          <w:sz w:val="24"/>
          <w:szCs w:val="24"/>
        </w:rPr>
        <w:t xml:space="preserve">, Jr., Counsel for </w:t>
      </w:r>
      <w:proofErr w:type="spellStart"/>
      <w:r>
        <w:rPr>
          <w:rFonts w:ascii="Times New Roman" w:hAnsi="Times New Roman" w:cs="Times New Roman"/>
          <w:sz w:val="24"/>
          <w:szCs w:val="24"/>
        </w:rPr>
        <w:t>Mokulua</w:t>
      </w:r>
      <w:proofErr w:type="spellEnd"/>
      <w:r>
        <w:rPr>
          <w:rFonts w:ascii="Times New Roman" w:hAnsi="Times New Roman" w:cs="Times New Roman"/>
          <w:sz w:val="24"/>
          <w:szCs w:val="24"/>
        </w:rPr>
        <w:t xml:space="preserve"> Oil and Gas, LLC and Dr. Eric Pearson</w:t>
      </w:r>
    </w:p>
    <w:p w:rsidR="009A3348" w:rsidRDefault="009A3348" w:rsidP="009A3348">
      <w:pPr>
        <w:ind w:firstLine="720"/>
        <w:rPr>
          <w:rFonts w:ascii="Times New Roman" w:hAnsi="Times New Roman" w:cs="Times New Roman"/>
          <w:sz w:val="24"/>
          <w:szCs w:val="24"/>
        </w:rPr>
      </w:pPr>
      <w:r>
        <w:rPr>
          <w:rFonts w:ascii="Times New Roman" w:hAnsi="Times New Roman" w:cs="Times New Roman"/>
          <w:sz w:val="24"/>
          <w:szCs w:val="24"/>
        </w:rPr>
        <w:t>Bernard S. Johnson, Counsel for A. H. Park</w:t>
      </w:r>
    </w:p>
    <w:p w:rsidR="009A3348" w:rsidRPr="00840D30" w:rsidRDefault="009A3348" w:rsidP="00E42618">
      <w:pPr>
        <w:ind w:firstLine="720"/>
        <w:rPr>
          <w:rFonts w:ascii="Times New Roman" w:hAnsi="Times New Roman" w:cs="Times New Roman"/>
          <w:sz w:val="24"/>
          <w:szCs w:val="24"/>
        </w:rPr>
      </w:pPr>
      <w:r>
        <w:rPr>
          <w:rFonts w:ascii="Times New Roman" w:hAnsi="Times New Roman" w:cs="Times New Roman"/>
          <w:sz w:val="24"/>
          <w:szCs w:val="24"/>
        </w:rPr>
        <w:t xml:space="preserve">Kristina B. </w:t>
      </w:r>
      <w:proofErr w:type="spellStart"/>
      <w:r>
        <w:rPr>
          <w:rFonts w:ascii="Times New Roman" w:hAnsi="Times New Roman" w:cs="Times New Roman"/>
          <w:sz w:val="24"/>
          <w:szCs w:val="24"/>
        </w:rPr>
        <w:t>Gustavson</w:t>
      </w:r>
      <w:proofErr w:type="spellEnd"/>
      <w:r>
        <w:rPr>
          <w:rFonts w:ascii="Times New Roman" w:hAnsi="Times New Roman" w:cs="Times New Roman"/>
          <w:sz w:val="24"/>
          <w:szCs w:val="24"/>
        </w:rPr>
        <w:t>, Counsel for A. H. Park</w:t>
      </w:r>
    </w:p>
    <w:sectPr w:rsidR="009A3348" w:rsidRPr="00840D30" w:rsidSect="00D44AE0">
      <w:footerReference w:type="default" r:id="rId9"/>
      <w:pgSz w:w="12240" w:h="20160" w:code="5"/>
      <w:pgMar w:top="288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7B4" w:rsidRDefault="007C17B4" w:rsidP="00BA31FF">
      <w:r>
        <w:separator/>
      </w:r>
    </w:p>
  </w:endnote>
  <w:endnote w:type="continuationSeparator" w:id="0">
    <w:p w:rsidR="007C17B4" w:rsidRDefault="007C17B4" w:rsidP="00BA3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5337043"/>
      <w:docPartObj>
        <w:docPartGallery w:val="Page Numbers (Bottom of Page)"/>
        <w:docPartUnique/>
      </w:docPartObj>
    </w:sdtPr>
    <w:sdtEndPr>
      <w:rPr>
        <w:noProof/>
      </w:rPr>
    </w:sdtEndPr>
    <w:sdtContent>
      <w:p w:rsidR="00944552" w:rsidRDefault="00944552">
        <w:pPr>
          <w:pStyle w:val="Footer"/>
          <w:jc w:val="center"/>
        </w:pPr>
        <w:r>
          <w:fldChar w:fldCharType="begin"/>
        </w:r>
        <w:r>
          <w:instrText xml:space="preserve"> PAGE   \* MERGEFORMAT </w:instrText>
        </w:r>
        <w:r>
          <w:fldChar w:fldCharType="separate"/>
        </w:r>
        <w:r w:rsidR="00E8526E">
          <w:rPr>
            <w:noProof/>
          </w:rPr>
          <w:t>5</w:t>
        </w:r>
        <w:r>
          <w:rPr>
            <w:noProof/>
          </w:rPr>
          <w:fldChar w:fldCharType="end"/>
        </w:r>
      </w:p>
    </w:sdtContent>
  </w:sdt>
  <w:p w:rsidR="00944552" w:rsidRDefault="009445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7B4" w:rsidRDefault="007C17B4" w:rsidP="00BA31FF">
      <w:r>
        <w:separator/>
      </w:r>
    </w:p>
  </w:footnote>
  <w:footnote w:type="continuationSeparator" w:id="0">
    <w:p w:rsidR="007C17B4" w:rsidRDefault="007C17B4" w:rsidP="00BA31FF">
      <w:r>
        <w:continuationSeparator/>
      </w:r>
    </w:p>
  </w:footnote>
  <w:footnote w:id="1">
    <w:p w:rsidR="00BA31FF" w:rsidRDefault="00BA31FF">
      <w:pPr>
        <w:pStyle w:val="FootnoteText"/>
      </w:pPr>
      <w:r>
        <w:rPr>
          <w:rStyle w:val="FootnoteReference"/>
        </w:rPr>
        <w:footnoteRef/>
      </w:r>
      <w:r>
        <w:t xml:space="preserve"> The attorney who filed the petition, G. Warren </w:t>
      </w:r>
      <w:proofErr w:type="spellStart"/>
      <w:r>
        <w:t>Thornell</w:t>
      </w:r>
      <w:proofErr w:type="spellEnd"/>
      <w:r>
        <w:t xml:space="preserve">, withdrew on July 16, 2008.  Lee H. Ayres enrolled August 5, 2008; and for reasons asserted in a Motion to Withdraw on July 15, 2009 and a motion for continuance on August 4, 2009, the Court allowed the Ayres firm to withdraw on January 4, 2010.  The sole shareholder of Caddo Oil Corporation, </w:t>
      </w:r>
      <w:proofErr w:type="spellStart"/>
      <w:r>
        <w:t>Manjit</w:t>
      </w:r>
      <w:proofErr w:type="spellEnd"/>
      <w:r>
        <w:t xml:space="preserve"> Singh </w:t>
      </w:r>
      <w:proofErr w:type="spellStart"/>
      <w:r>
        <w:t>Sahota</w:t>
      </w:r>
      <w:proofErr w:type="spellEnd"/>
      <w:r>
        <w:t>, chose not to retain new counsel and chose not to participate in the proceedings which his corporation commenced.</w:t>
      </w:r>
      <w:r w:rsidR="002619A5">
        <w:t xml:space="preserve">  Accordingly, Caddo Oil’s claims are dismissed with prejudice and any lien or privilege filed by Caddo Oil with the Clerk of Court shall be cancelled.  </w:t>
      </w:r>
    </w:p>
  </w:footnote>
  <w:footnote w:id="2">
    <w:p w:rsidR="00944552" w:rsidRPr="00944552" w:rsidRDefault="00944552">
      <w:pPr>
        <w:pStyle w:val="FootnoteText"/>
        <w:rPr>
          <w:rFonts w:cstheme="minorHAnsi"/>
        </w:rPr>
      </w:pPr>
      <w:r>
        <w:rPr>
          <w:rStyle w:val="FootnoteReference"/>
        </w:rPr>
        <w:footnoteRef/>
      </w:r>
      <w:r>
        <w:t xml:space="preserve"> </w:t>
      </w:r>
      <w:r w:rsidRPr="00944552">
        <w:rPr>
          <w:rFonts w:cstheme="minorHAnsi"/>
        </w:rPr>
        <w:t>From a business ethics standpoint, such disclosure would be appropriate but not legally required.</w:t>
      </w:r>
    </w:p>
  </w:footnote>
  <w:footnote w:id="3">
    <w:p w:rsidR="00E34F7B" w:rsidRDefault="00E34F7B">
      <w:pPr>
        <w:pStyle w:val="FootnoteText"/>
      </w:pPr>
      <w:r>
        <w:rPr>
          <w:rStyle w:val="FootnoteReference"/>
        </w:rPr>
        <w:footnoteRef/>
      </w:r>
      <w:r>
        <w:t xml:space="preserve"> </w:t>
      </w:r>
      <w:proofErr w:type="gramStart"/>
      <w:r w:rsidR="00F73E66">
        <w:rPr>
          <w:rFonts w:cstheme="minorHAnsi"/>
        </w:rPr>
        <w:t>P</w:t>
      </w:r>
      <w:r w:rsidRPr="00E34F7B">
        <w:rPr>
          <w:rFonts w:cstheme="minorHAnsi"/>
        </w:rPr>
        <w:t>ost-trial</w:t>
      </w:r>
      <w:r w:rsidR="00F73E66">
        <w:rPr>
          <w:rFonts w:cstheme="minorHAnsi"/>
        </w:rPr>
        <w:t xml:space="preserve"> brief, page 3</w:t>
      </w:r>
      <w:r w:rsidRPr="00E34F7B">
        <w:rPr>
          <w:rFonts w:cstheme="minorHAnsi"/>
        </w:rPr>
        <w:t>.</w:t>
      </w:r>
      <w:proofErr w:type="gramEnd"/>
      <w:r>
        <w:rPr>
          <w:rFonts w:ascii="Times New Roman" w:hAnsi="Times New Roman" w:cs="Times New Roman"/>
          <w:sz w:val="24"/>
          <w:szCs w:val="24"/>
        </w:rPr>
        <w:t xml:space="preserve">  </w:t>
      </w:r>
    </w:p>
  </w:footnote>
  <w:footnote w:id="4">
    <w:p w:rsidR="002619A5" w:rsidRDefault="002619A5">
      <w:pPr>
        <w:pStyle w:val="FootnoteText"/>
      </w:pPr>
      <w:r>
        <w:rPr>
          <w:rStyle w:val="FootnoteReference"/>
        </w:rPr>
        <w:footnoteRef/>
      </w:r>
      <w:r>
        <w:t xml:space="preserve"> </w:t>
      </w:r>
      <w:proofErr w:type="spellStart"/>
      <w:r>
        <w:t>Mokulua’s</w:t>
      </w:r>
      <w:proofErr w:type="spellEnd"/>
      <w:r>
        <w:t>/Pearson’s Proposed Findings, Page 5.</w:t>
      </w:r>
    </w:p>
  </w:footnote>
  <w:footnote w:id="5">
    <w:p w:rsidR="00473CEF" w:rsidRDefault="00473CEF">
      <w:pPr>
        <w:pStyle w:val="FootnoteText"/>
      </w:pPr>
      <w:r>
        <w:rPr>
          <w:rStyle w:val="FootnoteReference"/>
        </w:rPr>
        <w:footnoteRef/>
      </w:r>
      <w:r>
        <w:t xml:space="preserve"> See post-trial brief, pages 1-2.</w:t>
      </w:r>
    </w:p>
  </w:footnote>
  <w:footnote w:id="6">
    <w:p w:rsidR="00F73E66" w:rsidRPr="00F73E66" w:rsidRDefault="00F73E66">
      <w:pPr>
        <w:pStyle w:val="FootnoteText"/>
        <w:rPr>
          <w:rFonts w:ascii="Calibri" w:hAnsi="Calibri"/>
        </w:rPr>
      </w:pPr>
      <w:r>
        <w:rPr>
          <w:rStyle w:val="FootnoteReference"/>
        </w:rPr>
        <w:footnoteRef/>
      </w:r>
      <w:r>
        <w:t xml:space="preserve"> </w:t>
      </w:r>
      <w:proofErr w:type="gramStart"/>
      <w:r>
        <w:t>Code of Evidence art.</w:t>
      </w:r>
      <w:proofErr w:type="gramEnd"/>
      <w:r>
        <w:t xml:space="preserve"> 404C </w:t>
      </w:r>
      <w:r w:rsidRPr="00F73E66">
        <w:rPr>
          <w:rFonts w:ascii="Calibri" w:hAnsi="Calibri" w:cs="Times New Roman"/>
          <w:szCs w:val="24"/>
        </w:rPr>
        <w:t>actually applies to criminal proceedings in which the prosecution obtains pre-trial approval to present “other crimes, wrongs, or acts” to prove motive, opportunity, intent, preparation, plan, knowledge, identity or absence of mistake.  Notwithstanding that in this civil case there was no pre-trial request by Pearson to present the previous conviction or the several previous wrongs or acts of Pearson for the purposes set forth by CE Art. 404C - even assuming the article’s applicability in a civil proceeding – the Court treats the conviction history as impeachment evidence</w:t>
      </w:r>
      <w:r w:rsidR="002619A5">
        <w:rPr>
          <w:rFonts w:ascii="Calibri" w:hAnsi="Calibri" w:cs="Times New Roman"/>
          <w:szCs w:val="24"/>
        </w:rPr>
        <w:t>, not as wrongs or acts designed to prove motive, opportunity, modus operandi, plan, etc.</w:t>
      </w:r>
      <w:r w:rsidRPr="00F73E66">
        <w:rPr>
          <w:rFonts w:ascii="Calibri" w:hAnsi="Calibri" w:cs="Times New Roman"/>
          <w:szCs w:val="24"/>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02375"/>
    <w:multiLevelType w:val="hybridMultilevel"/>
    <w:tmpl w:val="D4F8DEE0"/>
    <w:lvl w:ilvl="0" w:tplc="48320C2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9BC6AFC"/>
    <w:multiLevelType w:val="hybridMultilevel"/>
    <w:tmpl w:val="44AE2C30"/>
    <w:lvl w:ilvl="0" w:tplc="8792538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2990C6B"/>
    <w:multiLevelType w:val="hybridMultilevel"/>
    <w:tmpl w:val="8968CCD4"/>
    <w:lvl w:ilvl="0" w:tplc="F67809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6153C2D"/>
    <w:multiLevelType w:val="hybridMultilevel"/>
    <w:tmpl w:val="429CCB54"/>
    <w:lvl w:ilvl="0" w:tplc="E140182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74C4613A"/>
    <w:multiLevelType w:val="hybridMultilevel"/>
    <w:tmpl w:val="7780C514"/>
    <w:lvl w:ilvl="0" w:tplc="DE40E5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D30"/>
    <w:rsid w:val="0000015F"/>
    <w:rsid w:val="000347D5"/>
    <w:rsid w:val="000A70C1"/>
    <w:rsid w:val="000B028B"/>
    <w:rsid w:val="000B1D99"/>
    <w:rsid w:val="0016482F"/>
    <w:rsid w:val="002619A5"/>
    <w:rsid w:val="002B1BDE"/>
    <w:rsid w:val="002D62EF"/>
    <w:rsid w:val="0034745C"/>
    <w:rsid w:val="00361361"/>
    <w:rsid w:val="003C6A47"/>
    <w:rsid w:val="00437452"/>
    <w:rsid w:val="00473CEF"/>
    <w:rsid w:val="0047403B"/>
    <w:rsid w:val="0057771B"/>
    <w:rsid w:val="005A2820"/>
    <w:rsid w:val="0064049C"/>
    <w:rsid w:val="007538EA"/>
    <w:rsid w:val="007A5F7F"/>
    <w:rsid w:val="007C17B4"/>
    <w:rsid w:val="007C6666"/>
    <w:rsid w:val="007E7A1D"/>
    <w:rsid w:val="0080436E"/>
    <w:rsid w:val="008246B2"/>
    <w:rsid w:val="00840D30"/>
    <w:rsid w:val="00872F64"/>
    <w:rsid w:val="008D6FE7"/>
    <w:rsid w:val="00944552"/>
    <w:rsid w:val="009A3348"/>
    <w:rsid w:val="00A32F23"/>
    <w:rsid w:val="00A36F31"/>
    <w:rsid w:val="00A43B56"/>
    <w:rsid w:val="00A65DC1"/>
    <w:rsid w:val="00AB42AC"/>
    <w:rsid w:val="00B3380A"/>
    <w:rsid w:val="00BA31FF"/>
    <w:rsid w:val="00C207C8"/>
    <w:rsid w:val="00CA0148"/>
    <w:rsid w:val="00D44AE0"/>
    <w:rsid w:val="00D72B14"/>
    <w:rsid w:val="00DE1F98"/>
    <w:rsid w:val="00E230C0"/>
    <w:rsid w:val="00E34F7B"/>
    <w:rsid w:val="00E42618"/>
    <w:rsid w:val="00E8526E"/>
    <w:rsid w:val="00E90251"/>
    <w:rsid w:val="00ED530A"/>
    <w:rsid w:val="00F73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ajorBidi"/>
        <w:b/>
        <w:sz w:val="28"/>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EastAsia" w:hAnsiTheme="minorHAnsi" w:cstheme="minorBidi"/>
      <w:b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D30"/>
    <w:pPr>
      <w:ind w:left="720"/>
      <w:contextualSpacing/>
    </w:pPr>
  </w:style>
  <w:style w:type="paragraph" w:styleId="BalloonText">
    <w:name w:val="Balloon Text"/>
    <w:basedOn w:val="Normal"/>
    <w:link w:val="BalloonTextChar"/>
    <w:uiPriority w:val="99"/>
    <w:semiHidden/>
    <w:unhideWhenUsed/>
    <w:rsid w:val="009A3348"/>
    <w:rPr>
      <w:rFonts w:ascii="Tahoma" w:hAnsi="Tahoma" w:cs="Tahoma"/>
      <w:sz w:val="16"/>
      <w:szCs w:val="16"/>
    </w:rPr>
  </w:style>
  <w:style w:type="character" w:customStyle="1" w:styleId="BalloonTextChar">
    <w:name w:val="Balloon Text Char"/>
    <w:basedOn w:val="DefaultParagraphFont"/>
    <w:link w:val="BalloonText"/>
    <w:uiPriority w:val="99"/>
    <w:semiHidden/>
    <w:rsid w:val="009A3348"/>
    <w:rPr>
      <w:rFonts w:ascii="Tahoma" w:eastAsiaTheme="minorEastAsia" w:hAnsi="Tahoma" w:cs="Tahoma"/>
      <w:b w:val="0"/>
      <w:sz w:val="16"/>
      <w:szCs w:val="16"/>
    </w:rPr>
  </w:style>
  <w:style w:type="paragraph" w:styleId="FootnoteText">
    <w:name w:val="footnote text"/>
    <w:basedOn w:val="Normal"/>
    <w:link w:val="FootnoteTextChar"/>
    <w:uiPriority w:val="99"/>
    <w:semiHidden/>
    <w:unhideWhenUsed/>
    <w:rsid w:val="00BA31FF"/>
    <w:rPr>
      <w:sz w:val="20"/>
      <w:szCs w:val="20"/>
    </w:rPr>
  </w:style>
  <w:style w:type="character" w:customStyle="1" w:styleId="FootnoteTextChar">
    <w:name w:val="Footnote Text Char"/>
    <w:basedOn w:val="DefaultParagraphFont"/>
    <w:link w:val="FootnoteText"/>
    <w:uiPriority w:val="99"/>
    <w:semiHidden/>
    <w:rsid w:val="00BA31FF"/>
    <w:rPr>
      <w:rFonts w:asciiTheme="minorHAnsi" w:eastAsiaTheme="minorEastAsia" w:hAnsiTheme="minorHAnsi" w:cstheme="minorBidi"/>
      <w:b w:val="0"/>
      <w:sz w:val="20"/>
      <w:szCs w:val="20"/>
    </w:rPr>
  </w:style>
  <w:style w:type="character" w:styleId="FootnoteReference">
    <w:name w:val="footnote reference"/>
    <w:basedOn w:val="DefaultParagraphFont"/>
    <w:uiPriority w:val="99"/>
    <w:semiHidden/>
    <w:unhideWhenUsed/>
    <w:rsid w:val="00BA31FF"/>
    <w:rPr>
      <w:vertAlign w:val="superscript"/>
    </w:rPr>
  </w:style>
  <w:style w:type="paragraph" w:styleId="Header">
    <w:name w:val="header"/>
    <w:basedOn w:val="Normal"/>
    <w:link w:val="HeaderChar"/>
    <w:uiPriority w:val="99"/>
    <w:unhideWhenUsed/>
    <w:rsid w:val="00944552"/>
    <w:pPr>
      <w:tabs>
        <w:tab w:val="center" w:pos="4680"/>
        <w:tab w:val="right" w:pos="9360"/>
      </w:tabs>
    </w:pPr>
  </w:style>
  <w:style w:type="character" w:customStyle="1" w:styleId="HeaderChar">
    <w:name w:val="Header Char"/>
    <w:basedOn w:val="DefaultParagraphFont"/>
    <w:link w:val="Header"/>
    <w:uiPriority w:val="99"/>
    <w:rsid w:val="00944552"/>
    <w:rPr>
      <w:rFonts w:asciiTheme="minorHAnsi" w:eastAsiaTheme="minorEastAsia" w:hAnsiTheme="minorHAnsi" w:cstheme="minorBidi"/>
      <w:b w:val="0"/>
      <w:sz w:val="22"/>
      <w:szCs w:val="22"/>
    </w:rPr>
  </w:style>
  <w:style w:type="paragraph" w:styleId="Footer">
    <w:name w:val="footer"/>
    <w:basedOn w:val="Normal"/>
    <w:link w:val="FooterChar"/>
    <w:uiPriority w:val="99"/>
    <w:unhideWhenUsed/>
    <w:rsid w:val="00944552"/>
    <w:pPr>
      <w:tabs>
        <w:tab w:val="center" w:pos="4680"/>
        <w:tab w:val="right" w:pos="9360"/>
      </w:tabs>
    </w:pPr>
  </w:style>
  <w:style w:type="character" w:customStyle="1" w:styleId="FooterChar">
    <w:name w:val="Footer Char"/>
    <w:basedOn w:val="DefaultParagraphFont"/>
    <w:link w:val="Footer"/>
    <w:uiPriority w:val="99"/>
    <w:rsid w:val="00944552"/>
    <w:rPr>
      <w:rFonts w:asciiTheme="minorHAnsi" w:eastAsiaTheme="minorEastAsia" w:hAnsiTheme="minorHAnsi" w:cstheme="minorBidi"/>
      <w:b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ajorBidi"/>
        <w:b/>
        <w:sz w:val="28"/>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EastAsia" w:hAnsiTheme="minorHAnsi" w:cstheme="minorBidi"/>
      <w:b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D30"/>
    <w:pPr>
      <w:ind w:left="720"/>
      <w:contextualSpacing/>
    </w:pPr>
  </w:style>
  <w:style w:type="paragraph" w:styleId="BalloonText">
    <w:name w:val="Balloon Text"/>
    <w:basedOn w:val="Normal"/>
    <w:link w:val="BalloonTextChar"/>
    <w:uiPriority w:val="99"/>
    <w:semiHidden/>
    <w:unhideWhenUsed/>
    <w:rsid w:val="009A3348"/>
    <w:rPr>
      <w:rFonts w:ascii="Tahoma" w:hAnsi="Tahoma" w:cs="Tahoma"/>
      <w:sz w:val="16"/>
      <w:szCs w:val="16"/>
    </w:rPr>
  </w:style>
  <w:style w:type="character" w:customStyle="1" w:styleId="BalloonTextChar">
    <w:name w:val="Balloon Text Char"/>
    <w:basedOn w:val="DefaultParagraphFont"/>
    <w:link w:val="BalloonText"/>
    <w:uiPriority w:val="99"/>
    <w:semiHidden/>
    <w:rsid w:val="009A3348"/>
    <w:rPr>
      <w:rFonts w:ascii="Tahoma" w:eastAsiaTheme="minorEastAsia" w:hAnsi="Tahoma" w:cs="Tahoma"/>
      <w:b w:val="0"/>
      <w:sz w:val="16"/>
      <w:szCs w:val="16"/>
    </w:rPr>
  </w:style>
  <w:style w:type="paragraph" w:styleId="FootnoteText">
    <w:name w:val="footnote text"/>
    <w:basedOn w:val="Normal"/>
    <w:link w:val="FootnoteTextChar"/>
    <w:uiPriority w:val="99"/>
    <w:semiHidden/>
    <w:unhideWhenUsed/>
    <w:rsid w:val="00BA31FF"/>
    <w:rPr>
      <w:sz w:val="20"/>
      <w:szCs w:val="20"/>
    </w:rPr>
  </w:style>
  <w:style w:type="character" w:customStyle="1" w:styleId="FootnoteTextChar">
    <w:name w:val="Footnote Text Char"/>
    <w:basedOn w:val="DefaultParagraphFont"/>
    <w:link w:val="FootnoteText"/>
    <w:uiPriority w:val="99"/>
    <w:semiHidden/>
    <w:rsid w:val="00BA31FF"/>
    <w:rPr>
      <w:rFonts w:asciiTheme="minorHAnsi" w:eastAsiaTheme="minorEastAsia" w:hAnsiTheme="minorHAnsi" w:cstheme="minorBidi"/>
      <w:b w:val="0"/>
      <w:sz w:val="20"/>
      <w:szCs w:val="20"/>
    </w:rPr>
  </w:style>
  <w:style w:type="character" w:styleId="FootnoteReference">
    <w:name w:val="footnote reference"/>
    <w:basedOn w:val="DefaultParagraphFont"/>
    <w:uiPriority w:val="99"/>
    <w:semiHidden/>
    <w:unhideWhenUsed/>
    <w:rsid w:val="00BA31FF"/>
    <w:rPr>
      <w:vertAlign w:val="superscript"/>
    </w:rPr>
  </w:style>
  <w:style w:type="paragraph" w:styleId="Header">
    <w:name w:val="header"/>
    <w:basedOn w:val="Normal"/>
    <w:link w:val="HeaderChar"/>
    <w:uiPriority w:val="99"/>
    <w:unhideWhenUsed/>
    <w:rsid w:val="00944552"/>
    <w:pPr>
      <w:tabs>
        <w:tab w:val="center" w:pos="4680"/>
        <w:tab w:val="right" w:pos="9360"/>
      </w:tabs>
    </w:pPr>
  </w:style>
  <w:style w:type="character" w:customStyle="1" w:styleId="HeaderChar">
    <w:name w:val="Header Char"/>
    <w:basedOn w:val="DefaultParagraphFont"/>
    <w:link w:val="Header"/>
    <w:uiPriority w:val="99"/>
    <w:rsid w:val="00944552"/>
    <w:rPr>
      <w:rFonts w:asciiTheme="minorHAnsi" w:eastAsiaTheme="minorEastAsia" w:hAnsiTheme="minorHAnsi" w:cstheme="minorBidi"/>
      <w:b w:val="0"/>
      <w:sz w:val="22"/>
      <w:szCs w:val="22"/>
    </w:rPr>
  </w:style>
  <w:style w:type="paragraph" w:styleId="Footer">
    <w:name w:val="footer"/>
    <w:basedOn w:val="Normal"/>
    <w:link w:val="FooterChar"/>
    <w:uiPriority w:val="99"/>
    <w:unhideWhenUsed/>
    <w:rsid w:val="00944552"/>
    <w:pPr>
      <w:tabs>
        <w:tab w:val="center" w:pos="4680"/>
        <w:tab w:val="right" w:pos="9360"/>
      </w:tabs>
    </w:pPr>
  </w:style>
  <w:style w:type="character" w:customStyle="1" w:styleId="FooterChar">
    <w:name w:val="Footer Char"/>
    <w:basedOn w:val="DefaultParagraphFont"/>
    <w:link w:val="Footer"/>
    <w:uiPriority w:val="99"/>
    <w:rsid w:val="00944552"/>
    <w:rPr>
      <w:rFonts w:asciiTheme="minorHAnsi" w:eastAsiaTheme="minorEastAsia" w:hAnsiTheme="minorHAnsi" w:cstheme="minorBidi"/>
      <w:b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02451-5EDE-4128-B927-F8D2CE4A4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1716</Words>
  <Characters>9787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Preferred Customer</cp:lastModifiedBy>
  <cp:revision>11</cp:revision>
  <cp:lastPrinted>2011-04-26T20:51:00Z</cp:lastPrinted>
  <dcterms:created xsi:type="dcterms:W3CDTF">2011-04-26T16:43:00Z</dcterms:created>
  <dcterms:modified xsi:type="dcterms:W3CDTF">2011-04-26T21:00:00Z</dcterms:modified>
</cp:coreProperties>
</file>