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F7F" w:rsidRDefault="00C86FD0">
      <w:r>
        <w:t xml:space="preserve">SUSAN KATHERINE </w:t>
      </w:r>
      <w:proofErr w:type="gramStart"/>
      <w:r>
        <w:t>SHAVIN,</w:t>
      </w:r>
      <w:r>
        <w:tab/>
      </w:r>
      <w:r>
        <w:tab/>
      </w:r>
      <w:r>
        <w:tab/>
        <w:t>:</w:t>
      </w:r>
      <w:proofErr w:type="gramEnd"/>
      <w:r>
        <w:t xml:space="preserve">  NUMBER:  524,540</w:t>
      </w:r>
    </w:p>
    <w:p w:rsidR="00C86FD0" w:rsidRDefault="00C86FD0">
      <w:r>
        <w:t>ROBIN PHILLIP SHAVIN,</w:t>
      </w:r>
    </w:p>
    <w:p w:rsidR="00C86FD0" w:rsidRDefault="00C86FD0">
      <w:r>
        <w:t>WALTER EDWARD LIEBER,</w:t>
      </w:r>
    </w:p>
    <w:p w:rsidR="00C86FD0" w:rsidRDefault="00C86FD0">
      <w:r>
        <w:t>CAROLYN L. CASS, RENEE LIEBER,</w:t>
      </w:r>
    </w:p>
    <w:p w:rsidR="00C86FD0" w:rsidRDefault="00C86FD0">
      <w:r>
        <w:t>LEAH EVE L. HARRELL, EMILY</w:t>
      </w:r>
    </w:p>
    <w:p w:rsidR="00C86FD0" w:rsidRDefault="00C86FD0">
      <w:r>
        <w:t>L.  GILMAN AND GARY L. FOX</w:t>
      </w:r>
    </w:p>
    <w:p w:rsidR="00C86FD0" w:rsidRDefault="00C86FD0"/>
    <w:p w:rsidR="00C86FD0" w:rsidRDefault="00C86FD0">
      <w:r>
        <w:t>VERSUS</w:t>
      </w:r>
      <w:r>
        <w:tab/>
      </w:r>
      <w:r>
        <w:tab/>
      </w:r>
      <w:r>
        <w:tab/>
      </w:r>
      <w:r>
        <w:tab/>
      </w:r>
      <w:r>
        <w:tab/>
      </w:r>
      <w:r>
        <w:tab/>
        <w:t>:  FIRST JUDICIAL DISTRICT COURT</w:t>
      </w:r>
    </w:p>
    <w:p w:rsidR="00C86FD0" w:rsidRDefault="00C86FD0"/>
    <w:p w:rsidR="00C86FD0" w:rsidRDefault="00C86FD0">
      <w:r>
        <w:t>GERALD H. HUDDLESTON, GLEN</w:t>
      </w:r>
    </w:p>
    <w:p w:rsidR="00C86FD0" w:rsidRDefault="00C86FD0">
      <w:r>
        <w:t>CUMMER, ROBSON FARMS, L.L.C.,</w:t>
      </w:r>
    </w:p>
    <w:p w:rsidR="00C86FD0" w:rsidRDefault="00C86FD0">
      <w:r>
        <w:t>CAMTERRA RESOURCES PARTNERS,</w:t>
      </w:r>
    </w:p>
    <w:p w:rsidR="00C86FD0" w:rsidRDefault="00C86FD0">
      <w:r>
        <w:t>LTD., HUDDLESTON ENERGY</w:t>
      </w:r>
    </w:p>
    <w:p w:rsidR="00C86FD0" w:rsidRDefault="00C86FD0">
      <w:r>
        <w:t>RESERVES, LLC, SNJ ENERGY, LLC,</w:t>
      </w:r>
    </w:p>
    <w:p w:rsidR="00C86FD0" w:rsidRDefault="00C86FD0">
      <w:r>
        <w:t>ISRAEL INVESTMENTS, LLC AND</w:t>
      </w:r>
    </w:p>
    <w:p w:rsidR="00C86FD0" w:rsidRDefault="00C86FD0">
      <w:r>
        <w:t>CSC ENERGY CORP.</w:t>
      </w:r>
      <w:r>
        <w:tab/>
      </w:r>
      <w:r>
        <w:tab/>
      </w:r>
      <w:r>
        <w:tab/>
      </w:r>
      <w:r>
        <w:tab/>
        <w:t>:  CADDO PARISH, LOUISIANA</w:t>
      </w:r>
    </w:p>
    <w:p w:rsidR="00C86FD0" w:rsidRDefault="00C86FD0"/>
    <w:p w:rsidR="00C86FD0" w:rsidRDefault="00C86FD0" w:rsidP="00C86FD0">
      <w:pPr>
        <w:jc w:val="center"/>
        <w:rPr>
          <w:b/>
          <w:sz w:val="28"/>
          <w:szCs w:val="28"/>
          <w:u w:val="single"/>
        </w:rPr>
      </w:pPr>
      <w:r w:rsidRPr="00C86FD0">
        <w:rPr>
          <w:b/>
          <w:sz w:val="28"/>
          <w:szCs w:val="28"/>
          <w:u w:val="single"/>
        </w:rPr>
        <w:t xml:space="preserve">JUDGMENT AND REASONS ON </w:t>
      </w:r>
      <w:r w:rsidR="002E2EDD">
        <w:rPr>
          <w:b/>
          <w:sz w:val="28"/>
          <w:szCs w:val="28"/>
          <w:u w:val="single"/>
        </w:rPr>
        <w:t>DEFENDANTS’ MOTION TO COMPEL</w:t>
      </w:r>
    </w:p>
    <w:p w:rsidR="00C86FD0" w:rsidRDefault="00C86FD0" w:rsidP="00C86FD0">
      <w:pPr>
        <w:jc w:val="center"/>
        <w:rPr>
          <w:b/>
          <w:sz w:val="28"/>
          <w:szCs w:val="28"/>
          <w:u w:val="single"/>
        </w:rPr>
      </w:pPr>
    </w:p>
    <w:p w:rsidR="00C86FD0" w:rsidRDefault="00C86FD0" w:rsidP="00C86FD0">
      <w:pPr>
        <w:spacing w:line="480" w:lineRule="auto"/>
      </w:pPr>
      <w:r>
        <w:rPr>
          <w:sz w:val="28"/>
          <w:szCs w:val="28"/>
        </w:rPr>
        <w:tab/>
      </w:r>
      <w:r>
        <w:t>H</w:t>
      </w:r>
      <w:r w:rsidR="002E2EDD">
        <w:t>aving thoroughly considered the Defendants’ Motion to Compel  (filed August 2, 2011</w:t>
      </w:r>
      <w:r w:rsidR="00320CF1">
        <w:t>)</w:t>
      </w:r>
      <w:r w:rsidR="002E2EDD">
        <w:t xml:space="preserve"> by defendants, </w:t>
      </w:r>
      <w:r w:rsidR="006A5CC2">
        <w:t xml:space="preserve">Gerald H. Huddleston, Robson Farms, L.C.C., </w:t>
      </w:r>
      <w:proofErr w:type="spellStart"/>
      <w:r w:rsidR="006A5CC2">
        <w:t>Camterra</w:t>
      </w:r>
      <w:proofErr w:type="spellEnd"/>
      <w:r w:rsidR="006A5CC2">
        <w:t xml:space="preserve"> Resources Partners, Ltd., </w:t>
      </w:r>
      <w:proofErr w:type="spellStart"/>
      <w:r w:rsidR="006A5CC2">
        <w:t>Camterra</w:t>
      </w:r>
      <w:proofErr w:type="spellEnd"/>
      <w:r w:rsidR="006A5CC2">
        <w:t xml:space="preserve"> Resources, Inc., Huddleston Energy Reserves, LLC, Huddleston Oil &amp; Gas, LLC, SNJ Energy, LLC, Israel Investments, LLC and CSC Energy Corp., the </w:t>
      </w:r>
      <w:r w:rsidR="002E2EDD">
        <w:t>opposition filed by plaintiffs</w:t>
      </w:r>
      <w:r w:rsidR="00FF1808">
        <w:t xml:space="preserve"> Susan Katherine </w:t>
      </w:r>
      <w:proofErr w:type="spellStart"/>
      <w:r w:rsidR="00FF1808">
        <w:t>Shavin</w:t>
      </w:r>
      <w:proofErr w:type="spellEnd"/>
      <w:r w:rsidR="00FF1808">
        <w:t xml:space="preserve">, Robin Phillip </w:t>
      </w:r>
      <w:proofErr w:type="spellStart"/>
      <w:r w:rsidR="00FF1808">
        <w:t>Shavin</w:t>
      </w:r>
      <w:proofErr w:type="spellEnd"/>
      <w:r w:rsidR="00FF1808">
        <w:t xml:space="preserve">,  Walter Edward </w:t>
      </w:r>
      <w:proofErr w:type="spellStart"/>
      <w:r w:rsidR="00FF1808">
        <w:t>Lieber</w:t>
      </w:r>
      <w:proofErr w:type="spellEnd"/>
      <w:r w:rsidR="00FF1808">
        <w:t xml:space="preserve">, Carolyn L. Cass and Gary L. Fox (all represented by </w:t>
      </w:r>
      <w:proofErr w:type="spellStart"/>
      <w:r w:rsidR="00FF1808">
        <w:t>Eron</w:t>
      </w:r>
      <w:proofErr w:type="spellEnd"/>
      <w:r w:rsidR="00FF1808">
        <w:t xml:space="preserve"> J. </w:t>
      </w:r>
      <w:proofErr w:type="spellStart"/>
      <w:r w:rsidR="00FF1808">
        <w:t>Brainard</w:t>
      </w:r>
      <w:proofErr w:type="spellEnd"/>
      <w:r w:rsidR="00FF1808">
        <w:t xml:space="preserve">) on October 7, 2011, </w:t>
      </w:r>
      <w:r w:rsidR="002E2EDD">
        <w:t xml:space="preserve"> the </w:t>
      </w:r>
      <w:r w:rsidR="006A5CC2">
        <w:t xml:space="preserve">oral arguments of October 17, 2011, the post hearing memoranda filed by both sides, applicable law, and for reasons which follow, the Court concludes that the motion should be </w:t>
      </w:r>
      <w:r w:rsidR="00FF1808">
        <w:t xml:space="preserve">granted in part and denied in past.  </w:t>
      </w:r>
      <w:r w:rsidR="006A5CC2">
        <w:t>Accordingly:</w:t>
      </w:r>
    </w:p>
    <w:p w:rsidR="006A5CC2" w:rsidRDefault="006A5CC2" w:rsidP="00C86FD0">
      <w:pPr>
        <w:spacing w:line="480" w:lineRule="auto"/>
        <w:rPr>
          <w:b/>
        </w:rPr>
      </w:pPr>
      <w:r w:rsidRPr="00FF1808">
        <w:rPr>
          <w:b/>
        </w:rPr>
        <w:tab/>
        <w:t xml:space="preserve">IT IS ORDERED that the </w:t>
      </w:r>
      <w:r w:rsidR="002E2EDD" w:rsidRPr="00FF1808">
        <w:rPr>
          <w:b/>
        </w:rPr>
        <w:t xml:space="preserve">Defendants’ </w:t>
      </w:r>
      <w:r w:rsidRPr="00FF1808">
        <w:rPr>
          <w:b/>
        </w:rPr>
        <w:t xml:space="preserve">Motion </w:t>
      </w:r>
      <w:proofErr w:type="gramStart"/>
      <w:r w:rsidRPr="00FF1808">
        <w:rPr>
          <w:b/>
        </w:rPr>
        <w:t>To</w:t>
      </w:r>
      <w:proofErr w:type="gramEnd"/>
      <w:r w:rsidRPr="00FF1808">
        <w:rPr>
          <w:b/>
        </w:rPr>
        <w:t xml:space="preserve"> </w:t>
      </w:r>
      <w:r w:rsidR="002E2EDD" w:rsidRPr="00FF1808">
        <w:rPr>
          <w:b/>
        </w:rPr>
        <w:t>Compel</w:t>
      </w:r>
      <w:r w:rsidRPr="00FF1808">
        <w:rPr>
          <w:b/>
        </w:rPr>
        <w:t xml:space="preserve"> is</w:t>
      </w:r>
      <w:r w:rsidR="00FF1808" w:rsidRPr="00FF1808">
        <w:rPr>
          <w:b/>
        </w:rPr>
        <w:t xml:space="preserve"> granted in part and denied in part.</w:t>
      </w:r>
    </w:p>
    <w:p w:rsidR="00FF1808" w:rsidRPr="000B164A" w:rsidRDefault="000B164A" w:rsidP="000B164A">
      <w:pPr>
        <w:pStyle w:val="ListParagraph"/>
        <w:numPr>
          <w:ilvl w:val="0"/>
          <w:numId w:val="2"/>
        </w:numPr>
        <w:spacing w:line="480" w:lineRule="auto"/>
      </w:pPr>
      <w:r w:rsidRPr="000B164A">
        <w:t>The issue</w:t>
      </w:r>
      <w:r>
        <w:t xml:space="preserve"> of Otis White – The plaintiffs listed an individual named Otis White as a potential witness in response to interrogatories and designated him as an “oil and gas professional”.  Plaintiff counsel thereafter dropped this individual from his witness list.  In the October 7, 2011 response, Mr. </w:t>
      </w:r>
      <w:proofErr w:type="spellStart"/>
      <w:r>
        <w:t>Brainard</w:t>
      </w:r>
      <w:proofErr w:type="spellEnd"/>
      <w:r>
        <w:t xml:space="preserve"> states the “the expert ‘Otis White’ was listed in error and that no expert named Otis White will be called to testify in this matter.”  Defense counsel is justifiably curious as the interrogatory response</w:t>
      </w:r>
      <w:r w:rsidR="007F2C57">
        <w:t>,</w:t>
      </w:r>
      <w:r>
        <w:t xml:space="preserve"> at least implicitly</w:t>
      </w:r>
      <w:r w:rsidR="007F2C57">
        <w:t>,</w:t>
      </w:r>
      <w:r>
        <w:t xml:space="preserve"> conveys that one Otis White has discoverable evidence in this important case.  At the October 17 oral </w:t>
      </w:r>
      <w:proofErr w:type="gramStart"/>
      <w:r>
        <w:t>argument  there</w:t>
      </w:r>
      <w:proofErr w:type="gramEnd"/>
      <w:r>
        <w:t xml:space="preserve"> was additional mystery – not </w:t>
      </w:r>
      <w:r>
        <w:lastRenderedPageBreak/>
        <w:t xml:space="preserve">clarification – about this alleged witness.  The Court concludes that, as an officer of the Court, Mr. </w:t>
      </w:r>
      <w:proofErr w:type="spellStart"/>
      <w:r>
        <w:t>Brainard</w:t>
      </w:r>
      <w:proofErr w:type="spellEnd"/>
      <w:r>
        <w:t xml:space="preserve"> should admit or deny whether this individual exists and, if so, the contact information and substance of knowledge which this individual has about the case including, but not limited to, the requests of paragraphs 5 and 6 of the defendants’ August 2, 2011 compel motion.</w:t>
      </w:r>
    </w:p>
    <w:p w:rsidR="005A4F41" w:rsidRDefault="000B164A" w:rsidP="005A4F41">
      <w:pPr>
        <w:pStyle w:val="ListParagraph"/>
        <w:numPr>
          <w:ilvl w:val="0"/>
          <w:numId w:val="2"/>
        </w:numPr>
        <w:spacing w:line="480" w:lineRule="auto"/>
      </w:pPr>
      <w:r>
        <w:t xml:space="preserve">The issue of bank records – Under the circumstances of this case, the defense is entitled to have access to the requested bank records for the applicable time period.  To suggest that such records are not </w:t>
      </w:r>
      <w:r w:rsidR="00EC04F3">
        <w:t xml:space="preserve">available is insufficient as any one plaintiff can gain access </w:t>
      </w:r>
      <w:r w:rsidR="007F2C57">
        <w:t xml:space="preserve">for his or her own bank </w:t>
      </w:r>
      <w:r w:rsidR="00EC04F3">
        <w:t>any records; therefore, the bank records are to be provided.  The Court will provide a protective order upon request.</w:t>
      </w:r>
    </w:p>
    <w:p w:rsidR="005A4F41" w:rsidRDefault="00EC04F3" w:rsidP="005A4F41">
      <w:pPr>
        <w:pStyle w:val="ListParagraph"/>
        <w:numPr>
          <w:ilvl w:val="0"/>
          <w:numId w:val="2"/>
        </w:numPr>
        <w:spacing w:line="480" w:lineRule="auto"/>
      </w:pPr>
      <w:r>
        <w:t>“Other documents and information” – In paragraph 7 of the compel motion, defendants complain of “incomplete and inadequate” discovery and “very few documents”.  In response, plaintiff counsel responds that the motion is “too vague and unspecific”.  The Court agrees with plaintiff counsel but admonishes that all discoverable evidence addressed in Exhibits A and B (interrogatories and response) to the motion.</w:t>
      </w:r>
    </w:p>
    <w:p w:rsidR="006A5CC2" w:rsidRDefault="006A5CC2" w:rsidP="006A5CC2">
      <w:pPr>
        <w:spacing w:line="480" w:lineRule="auto"/>
        <w:ind w:firstLine="720"/>
      </w:pPr>
      <w:r>
        <w:t xml:space="preserve">Signed this </w:t>
      </w:r>
      <w:r w:rsidR="005A4F41">
        <w:t>2</w:t>
      </w:r>
      <w:r w:rsidR="005A4F41" w:rsidRPr="005A4F41">
        <w:rPr>
          <w:vertAlign w:val="superscript"/>
        </w:rPr>
        <w:t>nd</w:t>
      </w:r>
      <w:r w:rsidR="005A4F41">
        <w:t xml:space="preserve"> </w:t>
      </w:r>
      <w:r>
        <w:t xml:space="preserve">day of </w:t>
      </w:r>
      <w:r w:rsidR="005A4F41">
        <w:t>November</w:t>
      </w:r>
      <w:r>
        <w:t>, 2011 in Shreveport, Caddo Parish, Louisiana.</w:t>
      </w:r>
    </w:p>
    <w:p w:rsidR="006A5CC2" w:rsidRDefault="006A5CC2" w:rsidP="006A5CC2">
      <w:pPr>
        <w:ind w:firstLine="720"/>
      </w:pPr>
    </w:p>
    <w:p w:rsidR="006A5CC2" w:rsidRDefault="006A5CC2" w:rsidP="006A5CC2">
      <w:pPr>
        <w:ind w:firstLine="720"/>
      </w:pPr>
      <w:r>
        <w:tab/>
      </w:r>
      <w:r>
        <w:tab/>
      </w:r>
      <w:r>
        <w:tab/>
      </w:r>
      <w:r>
        <w:tab/>
      </w:r>
      <w:r>
        <w:tab/>
      </w:r>
      <w:r>
        <w:tab/>
        <w:t xml:space="preserve">______________________________ </w:t>
      </w:r>
    </w:p>
    <w:p w:rsidR="006A5CC2" w:rsidRDefault="006A5CC2" w:rsidP="006A5CC2">
      <w:pPr>
        <w:ind w:firstLine="720"/>
      </w:pPr>
      <w:r>
        <w:tab/>
      </w:r>
      <w:r>
        <w:tab/>
      </w:r>
      <w:r>
        <w:tab/>
      </w:r>
      <w:r>
        <w:tab/>
      </w:r>
      <w:r>
        <w:tab/>
      </w:r>
      <w:r>
        <w:tab/>
      </w:r>
      <w:r>
        <w:tab/>
        <w:t>SCOTT J. CRICHTON</w:t>
      </w:r>
    </w:p>
    <w:p w:rsidR="006A5CC2" w:rsidRDefault="006A5CC2" w:rsidP="006A5CC2">
      <w:pPr>
        <w:ind w:firstLine="720"/>
      </w:pPr>
      <w:r>
        <w:tab/>
      </w:r>
      <w:r>
        <w:tab/>
      </w:r>
      <w:r>
        <w:tab/>
      </w:r>
      <w:r>
        <w:tab/>
      </w:r>
      <w:r>
        <w:tab/>
      </w:r>
      <w:r>
        <w:tab/>
      </w:r>
      <w:r>
        <w:tab/>
        <w:t xml:space="preserve">   DISTRICT JUDGE</w:t>
      </w:r>
    </w:p>
    <w:p w:rsidR="006A5CC2" w:rsidRDefault="006A5CC2" w:rsidP="006A5CC2">
      <w:pPr>
        <w:ind w:firstLine="720"/>
      </w:pPr>
    </w:p>
    <w:p w:rsidR="006A5CC2" w:rsidRDefault="006A5CC2" w:rsidP="006A5CC2">
      <w:pPr>
        <w:ind w:firstLine="720"/>
      </w:pPr>
    </w:p>
    <w:p w:rsidR="006A5CC2" w:rsidRDefault="006A5CC2" w:rsidP="006A5CC2">
      <w:pPr>
        <w:ind w:firstLine="720"/>
      </w:pPr>
    </w:p>
    <w:p w:rsidR="006A5CC2" w:rsidRDefault="006A5CC2" w:rsidP="006A5CC2">
      <w:r>
        <w:rPr>
          <w:u w:val="single"/>
        </w:rPr>
        <w:t>DISTRIBUTION</w:t>
      </w:r>
      <w:r>
        <w:t>:</w:t>
      </w:r>
    </w:p>
    <w:p w:rsidR="006A5CC2" w:rsidRDefault="006A5CC2" w:rsidP="006A5CC2"/>
    <w:p w:rsidR="006A5CC2" w:rsidRPr="006A5CC2" w:rsidRDefault="006A5CC2" w:rsidP="006A5CC2"/>
    <w:p w:rsidR="000B164A" w:rsidRDefault="000B164A" w:rsidP="000B164A">
      <w:r>
        <w:t xml:space="preserve">Lee H. Ayres, Counsel for Leah Eve L. Harrell, Emily L. Gilman an </w:t>
      </w:r>
      <w:proofErr w:type="spellStart"/>
      <w:r>
        <w:t>Renea</w:t>
      </w:r>
      <w:proofErr w:type="spellEnd"/>
      <w:r>
        <w:t xml:space="preserve"> </w:t>
      </w:r>
      <w:proofErr w:type="spellStart"/>
      <w:r>
        <w:t>Lieber</w:t>
      </w:r>
      <w:proofErr w:type="spellEnd"/>
    </w:p>
    <w:p w:rsidR="000B164A" w:rsidRDefault="000B164A" w:rsidP="000B164A">
      <w:proofErr w:type="spellStart"/>
      <w:r>
        <w:t>Eron</w:t>
      </w:r>
      <w:proofErr w:type="spellEnd"/>
      <w:r>
        <w:t xml:space="preserve"> J. </w:t>
      </w:r>
      <w:proofErr w:type="spellStart"/>
      <w:r>
        <w:t>Brainard</w:t>
      </w:r>
      <w:proofErr w:type="spellEnd"/>
      <w:r>
        <w:t xml:space="preserve">, Counsel for Susan Katherine </w:t>
      </w:r>
      <w:proofErr w:type="spellStart"/>
      <w:r>
        <w:t>Shavin</w:t>
      </w:r>
      <w:proofErr w:type="spellEnd"/>
      <w:r>
        <w:t xml:space="preserve">, Robin Phillip </w:t>
      </w:r>
      <w:proofErr w:type="spellStart"/>
      <w:r>
        <w:t>Shavin</w:t>
      </w:r>
      <w:proofErr w:type="spellEnd"/>
      <w:r>
        <w:t xml:space="preserve">, Walter Edward </w:t>
      </w:r>
      <w:proofErr w:type="spellStart"/>
      <w:r>
        <w:t>Lieber</w:t>
      </w:r>
      <w:proofErr w:type="spellEnd"/>
      <w:r>
        <w:t>, Carolyn L. Cass and Gary L. Fox</w:t>
      </w:r>
    </w:p>
    <w:p w:rsidR="000B164A" w:rsidRDefault="000B164A" w:rsidP="000B164A">
      <w:r>
        <w:t xml:space="preserve">Steven E. </w:t>
      </w:r>
      <w:proofErr w:type="spellStart"/>
      <w:r>
        <w:t>Soileau</w:t>
      </w:r>
      <w:proofErr w:type="spellEnd"/>
      <w:r>
        <w:t xml:space="preserve">, Counsel for Susan Katherine </w:t>
      </w:r>
      <w:proofErr w:type="spellStart"/>
      <w:r>
        <w:t>Shavin</w:t>
      </w:r>
      <w:proofErr w:type="spellEnd"/>
      <w:r>
        <w:t xml:space="preserve">, Robin Phillip </w:t>
      </w:r>
      <w:proofErr w:type="spellStart"/>
      <w:r>
        <w:t>Shavin</w:t>
      </w:r>
      <w:proofErr w:type="spellEnd"/>
      <w:r>
        <w:t xml:space="preserve">, Walter Edward </w:t>
      </w:r>
      <w:proofErr w:type="spellStart"/>
      <w:r>
        <w:t>Lieber</w:t>
      </w:r>
      <w:proofErr w:type="spellEnd"/>
      <w:r>
        <w:t>, Carolyn L. Cass and Gary L. Fox</w:t>
      </w:r>
    </w:p>
    <w:p w:rsidR="000B164A" w:rsidRDefault="000B164A" w:rsidP="000B164A">
      <w:r>
        <w:t xml:space="preserve">Glenn L. Langley, Counsel for Gerald H. Huddleston, Robson Farms, L.L.C., </w:t>
      </w:r>
      <w:proofErr w:type="spellStart"/>
      <w:r>
        <w:t>Camterra</w:t>
      </w:r>
      <w:proofErr w:type="spellEnd"/>
      <w:r>
        <w:t xml:space="preserve"> Resources Partners, LTD, </w:t>
      </w:r>
      <w:proofErr w:type="spellStart"/>
      <w:r>
        <w:t>Camterra</w:t>
      </w:r>
      <w:proofErr w:type="spellEnd"/>
      <w:r>
        <w:t xml:space="preserve"> Resources, Inc., Huddleston Oil and Gas, LLC, Huddleston Energy Reserves, LLC, SNJ Energy, LLC, Israel Investments, LLC and CSC Energy Corp.</w:t>
      </w:r>
    </w:p>
    <w:p w:rsidR="00C86FD0" w:rsidRPr="00C86FD0" w:rsidRDefault="00C86FD0" w:rsidP="00C86FD0">
      <w:pPr>
        <w:jc w:val="center"/>
        <w:rPr>
          <w:sz w:val="28"/>
          <w:szCs w:val="28"/>
          <w:u w:val="single"/>
        </w:rPr>
      </w:pPr>
      <w:bookmarkStart w:id="0" w:name="_GoBack"/>
      <w:bookmarkEnd w:id="0"/>
    </w:p>
    <w:sectPr w:rsidR="00C86FD0" w:rsidRPr="00C86FD0" w:rsidSect="00C86FD0">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FCB" w:rsidRDefault="00275FCB" w:rsidP="007F2C57">
      <w:r>
        <w:separator/>
      </w:r>
    </w:p>
  </w:endnote>
  <w:endnote w:type="continuationSeparator" w:id="0">
    <w:p w:rsidR="00275FCB" w:rsidRDefault="00275FCB" w:rsidP="007F2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676487"/>
      <w:docPartObj>
        <w:docPartGallery w:val="Page Numbers (Bottom of Page)"/>
        <w:docPartUnique/>
      </w:docPartObj>
    </w:sdtPr>
    <w:sdtEndPr>
      <w:rPr>
        <w:noProof/>
      </w:rPr>
    </w:sdtEndPr>
    <w:sdtContent>
      <w:p w:rsidR="007F2C57" w:rsidRDefault="007F2C57">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 Pages</w:t>
        </w:r>
      </w:p>
    </w:sdtContent>
  </w:sdt>
  <w:p w:rsidR="007F2C57" w:rsidRDefault="007F2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FCB" w:rsidRDefault="00275FCB" w:rsidP="007F2C57">
      <w:r>
        <w:separator/>
      </w:r>
    </w:p>
  </w:footnote>
  <w:footnote w:type="continuationSeparator" w:id="0">
    <w:p w:rsidR="00275FCB" w:rsidRDefault="00275FCB" w:rsidP="007F2C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C5B48"/>
    <w:multiLevelType w:val="hybridMultilevel"/>
    <w:tmpl w:val="90C08A60"/>
    <w:lvl w:ilvl="0" w:tplc="B08A0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A64790"/>
    <w:multiLevelType w:val="hybridMultilevel"/>
    <w:tmpl w:val="6ABAFEBE"/>
    <w:lvl w:ilvl="0" w:tplc="EFF8B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D0"/>
    <w:rsid w:val="000B164A"/>
    <w:rsid w:val="00275FCB"/>
    <w:rsid w:val="002E2EDD"/>
    <w:rsid w:val="00320CF1"/>
    <w:rsid w:val="004E1CAB"/>
    <w:rsid w:val="005A4F41"/>
    <w:rsid w:val="006A5CC2"/>
    <w:rsid w:val="007A5F7F"/>
    <w:rsid w:val="007F2C57"/>
    <w:rsid w:val="00C207C8"/>
    <w:rsid w:val="00C86FD0"/>
    <w:rsid w:val="00D72B14"/>
    <w:rsid w:val="00EC04F3"/>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CC2"/>
    <w:rPr>
      <w:rFonts w:ascii="Tahoma" w:hAnsi="Tahoma" w:cs="Tahoma"/>
      <w:sz w:val="16"/>
      <w:szCs w:val="16"/>
    </w:rPr>
  </w:style>
  <w:style w:type="character" w:customStyle="1" w:styleId="BalloonTextChar">
    <w:name w:val="Balloon Text Char"/>
    <w:basedOn w:val="DefaultParagraphFont"/>
    <w:link w:val="BalloonText"/>
    <w:uiPriority w:val="99"/>
    <w:semiHidden/>
    <w:rsid w:val="006A5CC2"/>
    <w:rPr>
      <w:rFonts w:ascii="Tahoma" w:hAnsi="Tahoma" w:cs="Tahoma"/>
      <w:sz w:val="16"/>
      <w:szCs w:val="16"/>
    </w:rPr>
  </w:style>
  <w:style w:type="paragraph" w:styleId="ListParagraph">
    <w:name w:val="List Paragraph"/>
    <w:basedOn w:val="Normal"/>
    <w:uiPriority w:val="34"/>
    <w:qFormat/>
    <w:rsid w:val="000B164A"/>
    <w:pPr>
      <w:ind w:left="720"/>
      <w:contextualSpacing/>
    </w:pPr>
  </w:style>
  <w:style w:type="paragraph" w:styleId="Header">
    <w:name w:val="header"/>
    <w:basedOn w:val="Normal"/>
    <w:link w:val="HeaderChar"/>
    <w:uiPriority w:val="99"/>
    <w:unhideWhenUsed/>
    <w:rsid w:val="007F2C57"/>
    <w:pPr>
      <w:tabs>
        <w:tab w:val="center" w:pos="4680"/>
        <w:tab w:val="right" w:pos="9360"/>
      </w:tabs>
    </w:pPr>
  </w:style>
  <w:style w:type="character" w:customStyle="1" w:styleId="HeaderChar">
    <w:name w:val="Header Char"/>
    <w:basedOn w:val="DefaultParagraphFont"/>
    <w:link w:val="Header"/>
    <w:uiPriority w:val="99"/>
    <w:rsid w:val="007F2C57"/>
  </w:style>
  <w:style w:type="paragraph" w:styleId="Footer">
    <w:name w:val="footer"/>
    <w:basedOn w:val="Normal"/>
    <w:link w:val="FooterChar"/>
    <w:uiPriority w:val="99"/>
    <w:unhideWhenUsed/>
    <w:rsid w:val="007F2C57"/>
    <w:pPr>
      <w:tabs>
        <w:tab w:val="center" w:pos="4680"/>
        <w:tab w:val="right" w:pos="9360"/>
      </w:tabs>
    </w:pPr>
  </w:style>
  <w:style w:type="character" w:customStyle="1" w:styleId="FooterChar">
    <w:name w:val="Footer Char"/>
    <w:basedOn w:val="DefaultParagraphFont"/>
    <w:link w:val="Footer"/>
    <w:uiPriority w:val="99"/>
    <w:rsid w:val="007F2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CC2"/>
    <w:rPr>
      <w:rFonts w:ascii="Tahoma" w:hAnsi="Tahoma" w:cs="Tahoma"/>
      <w:sz w:val="16"/>
      <w:szCs w:val="16"/>
    </w:rPr>
  </w:style>
  <w:style w:type="character" w:customStyle="1" w:styleId="BalloonTextChar">
    <w:name w:val="Balloon Text Char"/>
    <w:basedOn w:val="DefaultParagraphFont"/>
    <w:link w:val="BalloonText"/>
    <w:uiPriority w:val="99"/>
    <w:semiHidden/>
    <w:rsid w:val="006A5CC2"/>
    <w:rPr>
      <w:rFonts w:ascii="Tahoma" w:hAnsi="Tahoma" w:cs="Tahoma"/>
      <w:sz w:val="16"/>
      <w:szCs w:val="16"/>
    </w:rPr>
  </w:style>
  <w:style w:type="paragraph" w:styleId="ListParagraph">
    <w:name w:val="List Paragraph"/>
    <w:basedOn w:val="Normal"/>
    <w:uiPriority w:val="34"/>
    <w:qFormat/>
    <w:rsid w:val="000B164A"/>
    <w:pPr>
      <w:ind w:left="720"/>
      <w:contextualSpacing/>
    </w:pPr>
  </w:style>
  <w:style w:type="paragraph" w:styleId="Header">
    <w:name w:val="header"/>
    <w:basedOn w:val="Normal"/>
    <w:link w:val="HeaderChar"/>
    <w:uiPriority w:val="99"/>
    <w:unhideWhenUsed/>
    <w:rsid w:val="007F2C57"/>
    <w:pPr>
      <w:tabs>
        <w:tab w:val="center" w:pos="4680"/>
        <w:tab w:val="right" w:pos="9360"/>
      </w:tabs>
    </w:pPr>
  </w:style>
  <w:style w:type="character" w:customStyle="1" w:styleId="HeaderChar">
    <w:name w:val="Header Char"/>
    <w:basedOn w:val="DefaultParagraphFont"/>
    <w:link w:val="Header"/>
    <w:uiPriority w:val="99"/>
    <w:rsid w:val="007F2C57"/>
  </w:style>
  <w:style w:type="paragraph" w:styleId="Footer">
    <w:name w:val="footer"/>
    <w:basedOn w:val="Normal"/>
    <w:link w:val="FooterChar"/>
    <w:uiPriority w:val="99"/>
    <w:unhideWhenUsed/>
    <w:rsid w:val="007F2C57"/>
    <w:pPr>
      <w:tabs>
        <w:tab w:val="center" w:pos="4680"/>
        <w:tab w:val="right" w:pos="9360"/>
      </w:tabs>
    </w:pPr>
  </w:style>
  <w:style w:type="character" w:customStyle="1" w:styleId="FooterChar">
    <w:name w:val="Footer Char"/>
    <w:basedOn w:val="DefaultParagraphFont"/>
    <w:link w:val="Footer"/>
    <w:uiPriority w:val="99"/>
    <w:rsid w:val="007F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20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Preferred Customer</cp:lastModifiedBy>
  <cp:revision>6</cp:revision>
  <cp:lastPrinted>2011-11-02T20:14:00Z</cp:lastPrinted>
  <dcterms:created xsi:type="dcterms:W3CDTF">2011-10-27T15:43:00Z</dcterms:created>
  <dcterms:modified xsi:type="dcterms:W3CDTF">2011-11-02T20:14:00Z</dcterms:modified>
</cp:coreProperties>
</file>