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34" w:rsidRDefault="004674DD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DONNAN</w:t>
      </w:r>
      <w:r w:rsidR="00325334">
        <w:rPr>
          <w:rFonts w:ascii="Times New Roman" w:hAnsi="Times New Roman" w:cs="Times New Roman"/>
          <w:sz w:val="24"/>
          <w:szCs w:val="24"/>
        </w:rPr>
        <w:tab/>
      </w:r>
      <w:r w:rsidR="0032533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3187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31871">
        <w:rPr>
          <w:rFonts w:ascii="Times New Roman" w:hAnsi="Times New Roman" w:cs="Times New Roman"/>
          <w:sz w:val="24"/>
          <w:szCs w:val="24"/>
        </w:rPr>
        <w:tab/>
        <w:t>:</w:t>
      </w:r>
      <w:r w:rsidR="00A3187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25334">
        <w:rPr>
          <w:rFonts w:ascii="Times New Roman" w:hAnsi="Times New Roman" w:cs="Times New Roman"/>
          <w:sz w:val="24"/>
          <w:szCs w:val="24"/>
        </w:rPr>
        <w:t>NUMBER 5</w:t>
      </w:r>
      <w:r>
        <w:rPr>
          <w:rFonts w:ascii="Times New Roman" w:hAnsi="Times New Roman" w:cs="Times New Roman"/>
          <w:sz w:val="24"/>
          <w:szCs w:val="24"/>
        </w:rPr>
        <w:t>33</w:t>
      </w:r>
      <w:r w:rsidR="00325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670</w:t>
      </w:r>
      <w:r w:rsidR="00325334">
        <w:rPr>
          <w:rFonts w:ascii="Times New Roman" w:hAnsi="Times New Roman" w:cs="Times New Roman"/>
          <w:sz w:val="24"/>
          <w:szCs w:val="24"/>
        </w:rPr>
        <w:t xml:space="preserve"> - B</w:t>
      </w:r>
    </w:p>
    <w:p w:rsidR="00325334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334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31871">
        <w:rPr>
          <w:rFonts w:ascii="Times New Roman" w:hAnsi="Times New Roman" w:cs="Times New Roman"/>
          <w:sz w:val="24"/>
          <w:szCs w:val="24"/>
        </w:rPr>
        <w:tab/>
        <w:t xml:space="preserve">:                  </w:t>
      </w:r>
      <w:r>
        <w:rPr>
          <w:rFonts w:ascii="Times New Roman" w:hAnsi="Times New Roman" w:cs="Times New Roman"/>
          <w:sz w:val="24"/>
          <w:szCs w:val="24"/>
        </w:rPr>
        <w:t>FIRST JUDICIAL DISTRICT COURT</w:t>
      </w:r>
    </w:p>
    <w:p w:rsidR="00325334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334" w:rsidRDefault="004674DD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EASTEX MATERIALS INC.</w:t>
      </w:r>
      <w:r w:rsidR="00A318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31871">
        <w:rPr>
          <w:rFonts w:ascii="Times New Roman" w:hAnsi="Times New Roman" w:cs="Times New Roman"/>
          <w:sz w:val="24"/>
          <w:szCs w:val="24"/>
        </w:rPr>
        <w:tab/>
        <w:t>:</w:t>
      </w:r>
      <w:r w:rsidR="00A3187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25334">
        <w:rPr>
          <w:rFonts w:ascii="Times New Roman" w:hAnsi="Times New Roman" w:cs="Times New Roman"/>
          <w:sz w:val="24"/>
          <w:szCs w:val="24"/>
        </w:rPr>
        <w:t>CADDO PARISH, LOUISIANA</w:t>
      </w:r>
    </w:p>
    <w:p w:rsidR="00325334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334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334" w:rsidRPr="00BA2675" w:rsidRDefault="00325334" w:rsidP="00325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75">
        <w:rPr>
          <w:rFonts w:ascii="Times New Roman" w:hAnsi="Times New Roman" w:cs="Times New Roman"/>
          <w:b/>
          <w:sz w:val="24"/>
          <w:szCs w:val="24"/>
          <w:u w:val="single"/>
        </w:rPr>
        <w:t xml:space="preserve">REASONS FOR JUDGMENT </w:t>
      </w:r>
    </w:p>
    <w:p w:rsidR="00325334" w:rsidRPr="00BA2675" w:rsidRDefault="00325334" w:rsidP="00325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75">
        <w:rPr>
          <w:rFonts w:ascii="Times New Roman" w:hAnsi="Times New Roman" w:cs="Times New Roman"/>
          <w:b/>
          <w:sz w:val="24"/>
          <w:szCs w:val="24"/>
          <w:u w:val="single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="00A3187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SUMMARY JUDGMENT</w:t>
      </w:r>
    </w:p>
    <w:p w:rsidR="00325334" w:rsidRDefault="00325334" w:rsidP="003253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5334" w:rsidRDefault="00325334" w:rsidP="00325334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Court has considered the Motion for Summary Judgment, filed July 19, 2013 by </w:t>
      </w:r>
      <w:r w:rsidR="004674DD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4674DD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333A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4674DD">
        <w:rPr>
          <w:rFonts w:ascii="Times New Roman" w:hAnsi="Times New Roman" w:cs="Times New Roman"/>
          <w:sz w:val="24"/>
          <w:szCs w:val="24"/>
        </w:rPr>
        <w:t xml:space="preserve">), its </w:t>
      </w:r>
      <w:r w:rsidR="00333A7F">
        <w:rPr>
          <w:rFonts w:ascii="Times New Roman" w:hAnsi="Times New Roman" w:cs="Times New Roman"/>
          <w:sz w:val="24"/>
          <w:szCs w:val="24"/>
        </w:rPr>
        <w:t>exhibits and memoranda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1871">
        <w:rPr>
          <w:rFonts w:ascii="Times New Roman" w:hAnsi="Times New Roman" w:cs="Times New Roman"/>
          <w:sz w:val="24"/>
          <w:szCs w:val="24"/>
        </w:rPr>
        <w:t xml:space="preserve">the Cross </w:t>
      </w:r>
      <w:r w:rsidR="00333A7F">
        <w:rPr>
          <w:rFonts w:ascii="Times New Roman" w:hAnsi="Times New Roman" w:cs="Times New Roman"/>
          <w:sz w:val="24"/>
          <w:szCs w:val="24"/>
        </w:rPr>
        <w:t xml:space="preserve">Motion for Summary Judgment filed </w:t>
      </w:r>
      <w:r w:rsidR="00A31871">
        <w:rPr>
          <w:rFonts w:ascii="Times New Roman" w:hAnsi="Times New Roman" w:cs="Times New Roman"/>
          <w:sz w:val="24"/>
          <w:szCs w:val="24"/>
        </w:rPr>
        <w:t xml:space="preserve">October 4, 2013 by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A31871">
        <w:rPr>
          <w:rFonts w:ascii="Times New Roman" w:hAnsi="Times New Roman" w:cs="Times New Roman"/>
          <w:sz w:val="24"/>
          <w:szCs w:val="24"/>
        </w:rPr>
        <w:t xml:space="preserve"> Materials Inc. (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9778B">
        <w:rPr>
          <w:rFonts w:ascii="Times New Roman" w:hAnsi="Times New Roman" w:cs="Times New Roman"/>
          <w:sz w:val="24"/>
          <w:szCs w:val="24"/>
        </w:rPr>
        <w:t>,</w:t>
      </w:r>
      <w:r w:rsidR="004674DD">
        <w:rPr>
          <w:rFonts w:ascii="Times New Roman" w:hAnsi="Times New Roman" w:cs="Times New Roman"/>
          <w:sz w:val="24"/>
          <w:szCs w:val="24"/>
        </w:rPr>
        <w:t xml:space="preserve"> </w:t>
      </w:r>
      <w:r w:rsidR="00333A7F">
        <w:rPr>
          <w:rFonts w:ascii="Times New Roman" w:hAnsi="Times New Roman" w:cs="Times New Roman"/>
          <w:sz w:val="24"/>
          <w:szCs w:val="24"/>
        </w:rPr>
        <w:t xml:space="preserve">its exhibits </w:t>
      </w:r>
      <w:r w:rsidR="00F9778B">
        <w:rPr>
          <w:rFonts w:ascii="Times New Roman" w:hAnsi="Times New Roman" w:cs="Times New Roman"/>
          <w:sz w:val="24"/>
          <w:szCs w:val="24"/>
        </w:rPr>
        <w:t xml:space="preserve">and memoranda, </w:t>
      </w:r>
      <w:r w:rsidR="00333A7F">
        <w:rPr>
          <w:rFonts w:ascii="Times New Roman" w:hAnsi="Times New Roman" w:cs="Times New Roman"/>
          <w:sz w:val="24"/>
          <w:szCs w:val="24"/>
        </w:rPr>
        <w:t>oral arguments of counsel held on November 4, 2013</w:t>
      </w:r>
      <w:r w:rsidR="00A31871">
        <w:rPr>
          <w:rFonts w:ascii="Times New Roman" w:hAnsi="Times New Roman" w:cs="Times New Roman"/>
          <w:sz w:val="24"/>
          <w:szCs w:val="24"/>
        </w:rPr>
        <w:t xml:space="preserve"> and applicable law</w:t>
      </w:r>
      <w:r>
        <w:rPr>
          <w:rFonts w:ascii="Times New Roman" w:hAnsi="Times New Roman" w:cs="Times New Roman"/>
          <w:sz w:val="24"/>
          <w:szCs w:val="24"/>
        </w:rPr>
        <w:t>.  Based on a thorough review of the record, and for reasons which follow</w:t>
      </w:r>
      <w:r w:rsidR="00A31871">
        <w:rPr>
          <w:rFonts w:ascii="Times New Roman" w:hAnsi="Times New Roman" w:cs="Times New Roman"/>
          <w:sz w:val="24"/>
          <w:szCs w:val="24"/>
        </w:rPr>
        <w:t xml:space="preserve">, the Court concludes that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Donnan’s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 for Summary Judgment should be granted</w:t>
      </w:r>
      <w:r w:rsidR="00A31871">
        <w:rPr>
          <w:rFonts w:ascii="Times New Roman" w:hAnsi="Times New Roman" w:cs="Times New Roman"/>
          <w:sz w:val="24"/>
          <w:szCs w:val="24"/>
        </w:rPr>
        <w:t xml:space="preserve"> and that the Cross Motion by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E</w:t>
      </w:r>
      <w:r w:rsidR="00760652">
        <w:rPr>
          <w:rFonts w:ascii="Times New Roman" w:hAnsi="Times New Roman" w:cs="Times New Roman"/>
          <w:sz w:val="24"/>
          <w:szCs w:val="24"/>
        </w:rPr>
        <w:t>a</w:t>
      </w:r>
      <w:r w:rsidR="00A31871">
        <w:rPr>
          <w:rFonts w:ascii="Times New Roman" w:hAnsi="Times New Roman" w:cs="Times New Roman"/>
          <w:sz w:val="24"/>
          <w:szCs w:val="24"/>
        </w:rPr>
        <w:t>stex</w:t>
      </w:r>
      <w:proofErr w:type="spellEnd"/>
      <w:r w:rsidR="00A31871">
        <w:rPr>
          <w:rFonts w:ascii="Times New Roman" w:hAnsi="Times New Roman" w:cs="Times New Roman"/>
          <w:sz w:val="24"/>
          <w:szCs w:val="24"/>
        </w:rPr>
        <w:t xml:space="preserve"> should be denied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E60F8" w:rsidRDefault="001A6554" w:rsidP="00AE60F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contract of “guaranty” is equivalent to a contract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suretyship</w:t>
      </w:r>
      <w:proofErr w:type="spellEnd"/>
      <w:r>
        <w:rPr>
          <w:rFonts w:ascii="Times New Roman" w:hAnsi="Times New Roman" w:cs="Times New Roman"/>
          <w:sz w:val="24"/>
          <w:szCs w:val="24"/>
        </w:rPr>
        <w:t>,” and the two terms may be used interchangeably.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E60F8">
        <w:rPr>
          <w:rFonts w:ascii="Times New Roman" w:hAnsi="Times New Roman" w:cs="Times New Roman"/>
          <w:sz w:val="24"/>
          <w:szCs w:val="24"/>
        </w:rPr>
        <w:t xml:space="preserve">  As such, contracts of guaranty, like contracts of </w:t>
      </w:r>
      <w:proofErr w:type="spellStart"/>
      <w:r w:rsidR="00AE60F8">
        <w:rPr>
          <w:rFonts w:ascii="Times New Roman" w:hAnsi="Times New Roman" w:cs="Times New Roman"/>
          <w:sz w:val="24"/>
          <w:szCs w:val="24"/>
        </w:rPr>
        <w:t>suretyship</w:t>
      </w:r>
      <w:proofErr w:type="spellEnd"/>
      <w:r w:rsidR="00AE60F8">
        <w:rPr>
          <w:rFonts w:ascii="Times New Roman" w:hAnsi="Times New Roman" w:cs="Times New Roman"/>
          <w:sz w:val="24"/>
          <w:szCs w:val="24"/>
        </w:rPr>
        <w:t>, are subject to the same rules of interpretation as contracts in general.</w:t>
      </w:r>
      <w:r w:rsidR="00F9778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E60F8">
        <w:rPr>
          <w:rFonts w:ascii="Times New Roman" w:hAnsi="Times New Roman" w:cs="Times New Roman"/>
          <w:sz w:val="24"/>
          <w:szCs w:val="24"/>
        </w:rPr>
        <w:t xml:space="preserve">  </w:t>
      </w:r>
      <w:r w:rsidR="00711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11649">
        <w:rPr>
          <w:rFonts w:ascii="Times New Roman" w:hAnsi="Times New Roman" w:cs="Times New Roman"/>
          <w:sz w:val="24"/>
          <w:szCs w:val="24"/>
        </w:rPr>
        <w:t>suretyship</w:t>
      </w:r>
      <w:proofErr w:type="spellEnd"/>
      <w:r w:rsidR="00711649">
        <w:rPr>
          <w:rFonts w:ascii="Times New Roman" w:hAnsi="Times New Roman" w:cs="Times New Roman"/>
          <w:sz w:val="24"/>
          <w:szCs w:val="24"/>
        </w:rPr>
        <w:t xml:space="preserve"> must be express and in writing.</w:t>
      </w:r>
      <w:r w:rsidR="0071164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11649">
        <w:rPr>
          <w:rFonts w:ascii="Times New Roman" w:hAnsi="Times New Roman" w:cs="Times New Roman"/>
          <w:sz w:val="24"/>
          <w:szCs w:val="24"/>
        </w:rPr>
        <w:t xml:space="preserve">  </w:t>
      </w:r>
      <w:r w:rsidR="00AE60F8">
        <w:rPr>
          <w:rFonts w:ascii="Times New Roman" w:hAnsi="Times New Roman" w:cs="Times New Roman"/>
          <w:sz w:val="24"/>
          <w:szCs w:val="24"/>
        </w:rPr>
        <w:t>The Court must give legal effect to all written contracts according to the true intent of the parties, which must be sought within the four corners of the instrument.</w:t>
      </w:r>
      <w:r w:rsidR="003D2C5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E6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624" w:rsidRDefault="00AE60F8" w:rsidP="00325334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Focusing </w:t>
      </w:r>
      <w:r w:rsidR="003D2C5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the instrument</w:t>
      </w:r>
      <w:r w:rsidR="00A31871">
        <w:rPr>
          <w:rFonts w:ascii="Times New Roman" w:hAnsi="Times New Roman" w:cs="Times New Roman"/>
          <w:sz w:val="24"/>
          <w:szCs w:val="24"/>
        </w:rPr>
        <w:t xml:space="preserve">, it is clear that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guaranteed only the debts of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Ameri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>-Tech Building Systems, LLC (</w:t>
      </w:r>
      <w:r>
        <w:rPr>
          <w:rFonts w:ascii="Times New Roman" w:hAnsi="Times New Roman" w:cs="Times New Roman"/>
          <w:sz w:val="24"/>
          <w:szCs w:val="24"/>
        </w:rPr>
        <w:t>ABS</w:t>
      </w:r>
      <w:r w:rsidR="00BC43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and not those of ACP</w:t>
      </w:r>
      <w:r w:rsidR="00BC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Ameri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>-Tech Acquisition, LLC (ACP)</w:t>
      </w:r>
      <w:r>
        <w:rPr>
          <w:rFonts w:ascii="Times New Roman" w:hAnsi="Times New Roman" w:cs="Times New Roman"/>
          <w:sz w:val="24"/>
          <w:szCs w:val="24"/>
        </w:rPr>
        <w:t xml:space="preserve">, the latter of </w:t>
      </w:r>
      <w:r w:rsidR="00711649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was not a party to the </w:t>
      </w:r>
      <w:r w:rsidR="00E279EC">
        <w:rPr>
          <w:rFonts w:ascii="Times New Roman" w:hAnsi="Times New Roman" w:cs="Times New Roman"/>
          <w:sz w:val="24"/>
          <w:szCs w:val="24"/>
        </w:rPr>
        <w:t xml:space="preserve">March 13, 2006 </w:t>
      </w:r>
      <w:r>
        <w:rPr>
          <w:rFonts w:ascii="Times New Roman" w:hAnsi="Times New Roman" w:cs="Times New Roman"/>
          <w:sz w:val="24"/>
          <w:szCs w:val="24"/>
        </w:rPr>
        <w:t xml:space="preserve">contract between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ABS.  Because of this unambiguous language, </w:t>
      </w:r>
      <w:r w:rsidR="007033ED">
        <w:rPr>
          <w:rFonts w:ascii="Times New Roman" w:hAnsi="Times New Roman" w:cs="Times New Roman"/>
          <w:sz w:val="24"/>
          <w:szCs w:val="24"/>
        </w:rPr>
        <w:t xml:space="preserve">any issue arising out of this instrument as it </w:t>
      </w:r>
      <w:r w:rsidR="00A31871">
        <w:rPr>
          <w:rFonts w:ascii="Times New Roman" w:hAnsi="Times New Roman" w:cs="Times New Roman"/>
          <w:sz w:val="24"/>
          <w:szCs w:val="24"/>
        </w:rPr>
        <w:t xml:space="preserve">would pertain to ACP and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7033ED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immaterial</w:t>
      </w:r>
      <w:r w:rsidR="00602624">
        <w:rPr>
          <w:rFonts w:ascii="Times New Roman" w:hAnsi="Times New Roman" w:cs="Times New Roman"/>
          <w:sz w:val="24"/>
          <w:szCs w:val="24"/>
        </w:rPr>
        <w:t xml:space="preserve"> --</w:t>
      </w:r>
      <w:r w:rsidR="00703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24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602624">
        <w:rPr>
          <w:rFonts w:ascii="Times New Roman" w:hAnsi="Times New Roman" w:cs="Times New Roman"/>
          <w:sz w:val="24"/>
          <w:szCs w:val="24"/>
        </w:rPr>
        <w:t xml:space="preserve">, ABS, and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602624">
        <w:rPr>
          <w:rFonts w:ascii="Times New Roman" w:hAnsi="Times New Roman" w:cs="Times New Roman"/>
          <w:sz w:val="24"/>
          <w:szCs w:val="24"/>
        </w:rPr>
        <w:t xml:space="preserve"> were the only named parties to the original agreement, and all of the outstanding invoices </w:t>
      </w:r>
      <w:r w:rsidR="00E279EC">
        <w:rPr>
          <w:rFonts w:ascii="Times New Roman" w:hAnsi="Times New Roman" w:cs="Times New Roman"/>
          <w:sz w:val="24"/>
          <w:szCs w:val="24"/>
        </w:rPr>
        <w:t xml:space="preserve">claimed by </w:t>
      </w:r>
      <w:proofErr w:type="spellStart"/>
      <w:r w:rsidR="00A31871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711649">
        <w:rPr>
          <w:rFonts w:ascii="Times New Roman" w:hAnsi="Times New Roman" w:cs="Times New Roman"/>
          <w:sz w:val="24"/>
          <w:szCs w:val="24"/>
        </w:rPr>
        <w:t xml:space="preserve"> (</w:t>
      </w:r>
      <w:r w:rsidR="00BC433D">
        <w:rPr>
          <w:rFonts w:ascii="Times New Roman" w:hAnsi="Times New Roman" w:cs="Times New Roman"/>
          <w:sz w:val="24"/>
          <w:szCs w:val="24"/>
        </w:rPr>
        <w:t>which invoices reflect obligations incurred after November 2008</w:t>
      </w:r>
      <w:r w:rsidR="00711649">
        <w:rPr>
          <w:rFonts w:ascii="Times New Roman" w:hAnsi="Times New Roman" w:cs="Times New Roman"/>
          <w:sz w:val="24"/>
          <w:szCs w:val="24"/>
        </w:rPr>
        <w:t>)</w:t>
      </w:r>
      <w:r w:rsidR="00BC433D">
        <w:rPr>
          <w:rFonts w:ascii="Times New Roman" w:hAnsi="Times New Roman" w:cs="Times New Roman"/>
          <w:sz w:val="24"/>
          <w:szCs w:val="24"/>
        </w:rPr>
        <w:t xml:space="preserve"> are those of ACP.</w:t>
      </w:r>
      <w:r w:rsidR="0060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3D" w:rsidRDefault="00A31871" w:rsidP="0060262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F9778B">
        <w:rPr>
          <w:rFonts w:ascii="Times New Roman" w:hAnsi="Times New Roman" w:cs="Times New Roman"/>
          <w:sz w:val="24"/>
          <w:szCs w:val="24"/>
        </w:rPr>
        <w:t xml:space="preserve"> had sufficient knowledge and ample opportunity to modify the existing agreement to include ACP as a party</w:t>
      </w:r>
      <w:r w:rsidR="00711649">
        <w:rPr>
          <w:rFonts w:ascii="Times New Roman" w:hAnsi="Times New Roman" w:cs="Times New Roman"/>
          <w:sz w:val="24"/>
          <w:szCs w:val="24"/>
        </w:rPr>
        <w:t xml:space="preserve">, </w:t>
      </w:r>
      <w:r w:rsidR="00F9778B">
        <w:rPr>
          <w:rFonts w:ascii="Times New Roman" w:hAnsi="Times New Roman" w:cs="Times New Roman"/>
          <w:sz w:val="24"/>
          <w:szCs w:val="24"/>
        </w:rPr>
        <w:t>to execute a new agreement with ACP</w:t>
      </w:r>
      <w:r w:rsidR="00711649">
        <w:rPr>
          <w:rFonts w:ascii="Times New Roman" w:hAnsi="Times New Roman" w:cs="Times New Roman"/>
          <w:sz w:val="24"/>
          <w:szCs w:val="24"/>
        </w:rPr>
        <w:t xml:space="preserve"> and to secure any future indebtedness with an individual surety, such as </w:t>
      </w:r>
      <w:proofErr w:type="spellStart"/>
      <w:r w:rsidR="00711649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60262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Eastex’s</w:t>
      </w:r>
      <w:proofErr w:type="spellEnd"/>
      <w:r w:rsidR="00F9778B">
        <w:rPr>
          <w:rFonts w:ascii="Times New Roman" w:hAnsi="Times New Roman" w:cs="Times New Roman"/>
          <w:sz w:val="24"/>
          <w:szCs w:val="24"/>
        </w:rPr>
        <w:t xml:space="preserve"> failure to do so precludes </w:t>
      </w:r>
      <w:r w:rsidR="00602624">
        <w:rPr>
          <w:rFonts w:ascii="Times New Roman" w:hAnsi="Times New Roman" w:cs="Times New Roman"/>
          <w:sz w:val="24"/>
          <w:szCs w:val="24"/>
        </w:rPr>
        <w:t>it</w:t>
      </w:r>
      <w:r w:rsidR="00E279EC">
        <w:rPr>
          <w:rFonts w:ascii="Times New Roman" w:hAnsi="Times New Roman" w:cs="Times New Roman"/>
          <w:sz w:val="24"/>
          <w:szCs w:val="24"/>
        </w:rPr>
        <w:t xml:space="preserve">, as a matter of law, </w:t>
      </w:r>
      <w:r w:rsidR="00F9778B">
        <w:rPr>
          <w:rFonts w:ascii="Times New Roman" w:hAnsi="Times New Roman" w:cs="Times New Roman"/>
          <w:sz w:val="24"/>
          <w:szCs w:val="24"/>
        </w:rPr>
        <w:t>from recover</w:t>
      </w:r>
      <w:r w:rsidR="003D2C56">
        <w:rPr>
          <w:rFonts w:ascii="Times New Roman" w:hAnsi="Times New Roman" w:cs="Times New Roman"/>
          <w:sz w:val="24"/>
          <w:szCs w:val="24"/>
        </w:rPr>
        <w:t xml:space="preserve">ing on an open account from a totally separate business entity, </w:t>
      </w:r>
      <w:r w:rsidR="00E279EC">
        <w:rPr>
          <w:rFonts w:ascii="Times New Roman" w:hAnsi="Times New Roman" w:cs="Times New Roman"/>
          <w:sz w:val="24"/>
          <w:szCs w:val="24"/>
        </w:rPr>
        <w:lastRenderedPageBreak/>
        <w:t xml:space="preserve">which was </w:t>
      </w:r>
      <w:r w:rsidR="00602624">
        <w:rPr>
          <w:rFonts w:ascii="Times New Roman" w:hAnsi="Times New Roman" w:cs="Times New Roman"/>
          <w:sz w:val="24"/>
          <w:szCs w:val="24"/>
        </w:rPr>
        <w:t xml:space="preserve">unnamed in the original agreement, </w:t>
      </w:r>
      <w:r w:rsidR="003D2C56">
        <w:rPr>
          <w:rFonts w:ascii="Times New Roman" w:hAnsi="Times New Roman" w:cs="Times New Roman"/>
          <w:sz w:val="24"/>
          <w:szCs w:val="24"/>
        </w:rPr>
        <w:t xml:space="preserve">regardless of that separate entity’s </w:t>
      </w:r>
      <w:r w:rsidR="007033ED">
        <w:rPr>
          <w:rFonts w:ascii="Times New Roman" w:hAnsi="Times New Roman" w:cs="Times New Roman"/>
          <w:sz w:val="24"/>
          <w:szCs w:val="24"/>
        </w:rPr>
        <w:t>asset or membership structure</w:t>
      </w:r>
      <w:r w:rsidR="00F9778B">
        <w:rPr>
          <w:rFonts w:ascii="Times New Roman" w:hAnsi="Times New Roman" w:cs="Times New Roman"/>
          <w:sz w:val="24"/>
          <w:szCs w:val="24"/>
        </w:rPr>
        <w:t xml:space="preserve">.  </w:t>
      </w:r>
      <w:r w:rsidR="00711649">
        <w:rPr>
          <w:rFonts w:ascii="Times New Roman" w:hAnsi="Times New Roman" w:cs="Times New Roman"/>
          <w:sz w:val="24"/>
          <w:szCs w:val="24"/>
        </w:rPr>
        <w:t>Stated another way, t</w:t>
      </w:r>
      <w:r w:rsidR="00BC433D">
        <w:rPr>
          <w:rFonts w:ascii="Times New Roman" w:hAnsi="Times New Roman" w:cs="Times New Roman"/>
          <w:sz w:val="24"/>
          <w:szCs w:val="24"/>
        </w:rPr>
        <w:t xml:space="preserve">he bottom line is the debts at issue are the debts of ACP.  </w:t>
      </w:r>
      <w:r w:rsidR="00711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11649">
        <w:rPr>
          <w:rFonts w:ascii="Times New Roman" w:hAnsi="Times New Roman" w:cs="Times New Roman"/>
          <w:sz w:val="24"/>
          <w:szCs w:val="24"/>
        </w:rPr>
        <w:t>suretyship</w:t>
      </w:r>
      <w:proofErr w:type="spellEnd"/>
      <w:r w:rsidR="00711649">
        <w:rPr>
          <w:rFonts w:ascii="Times New Roman" w:hAnsi="Times New Roman" w:cs="Times New Roman"/>
          <w:sz w:val="24"/>
          <w:szCs w:val="24"/>
        </w:rPr>
        <w:t xml:space="preserve"> must be in writing and there is no writing in which </w:t>
      </w:r>
      <w:proofErr w:type="spellStart"/>
      <w:r w:rsidR="00711649">
        <w:rPr>
          <w:rFonts w:ascii="Times New Roman" w:hAnsi="Times New Roman" w:cs="Times New Roman"/>
          <w:sz w:val="24"/>
          <w:szCs w:val="24"/>
        </w:rPr>
        <w:t>Donna</w:t>
      </w:r>
      <w:r w:rsidR="00B92BD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11649">
        <w:rPr>
          <w:rFonts w:ascii="Times New Roman" w:hAnsi="Times New Roman" w:cs="Times New Roman"/>
          <w:sz w:val="24"/>
          <w:szCs w:val="24"/>
        </w:rPr>
        <w:t xml:space="preserve"> consented to act as a surety for ACP.  Thus,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 xml:space="preserve"> is not the surety or guaranty of ACP and cannot be </w:t>
      </w:r>
      <w:r w:rsidR="00711649">
        <w:rPr>
          <w:rFonts w:ascii="Times New Roman" w:hAnsi="Times New Roman" w:cs="Times New Roman"/>
          <w:sz w:val="24"/>
          <w:szCs w:val="24"/>
        </w:rPr>
        <w:t xml:space="preserve">held </w:t>
      </w:r>
      <w:r w:rsidR="00BC433D">
        <w:rPr>
          <w:rFonts w:ascii="Times New Roman" w:hAnsi="Times New Roman" w:cs="Times New Roman"/>
          <w:sz w:val="24"/>
          <w:szCs w:val="24"/>
        </w:rPr>
        <w:t xml:space="preserve">liable for the debts at issue.  When the 2007 ASP/ABS purchase agreement was effected,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 xml:space="preserve"> could have obtained another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suretyship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Donna</w:t>
      </w:r>
      <w:r w:rsidR="00B92BD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 xml:space="preserve"> but declined to do so, thus leaving an inadequate security devi</w:t>
      </w:r>
      <w:r w:rsidR="00711649">
        <w:rPr>
          <w:rFonts w:ascii="Times New Roman" w:hAnsi="Times New Roman" w:cs="Times New Roman"/>
          <w:sz w:val="24"/>
          <w:szCs w:val="24"/>
        </w:rPr>
        <w:t>c</w:t>
      </w:r>
      <w:r w:rsidR="00BC433D">
        <w:rPr>
          <w:rFonts w:ascii="Times New Roman" w:hAnsi="Times New Roman" w:cs="Times New Roman"/>
          <w:sz w:val="24"/>
          <w:szCs w:val="24"/>
        </w:rPr>
        <w:t xml:space="preserve">e for the open account.  Accordingly, the Motion </w:t>
      </w:r>
      <w:proofErr w:type="gramStart"/>
      <w:r w:rsidR="00BC433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BC433D">
        <w:rPr>
          <w:rFonts w:ascii="Times New Roman" w:hAnsi="Times New Roman" w:cs="Times New Roman"/>
          <w:sz w:val="24"/>
          <w:szCs w:val="24"/>
        </w:rPr>
        <w:t xml:space="preserve"> Summary Judgment by James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Donnan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 xml:space="preserve"> is granted and the Cross Motion for Summary Judgment by </w:t>
      </w:r>
      <w:proofErr w:type="spellStart"/>
      <w:r w:rsidR="00BC433D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BC433D">
        <w:rPr>
          <w:rFonts w:ascii="Times New Roman" w:hAnsi="Times New Roman" w:cs="Times New Roman"/>
          <w:sz w:val="24"/>
          <w:szCs w:val="24"/>
        </w:rPr>
        <w:t xml:space="preserve"> is denied.</w:t>
      </w:r>
    </w:p>
    <w:p w:rsidR="00602624" w:rsidRDefault="00A31871" w:rsidP="00325334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Counsel shall submit f</w:t>
      </w:r>
      <w:r w:rsidR="00325334">
        <w:rPr>
          <w:rFonts w:ascii="Times New Roman" w:hAnsi="Times New Roman" w:cs="Times New Roman"/>
          <w:sz w:val="24"/>
          <w:szCs w:val="24"/>
        </w:rPr>
        <w:t>ormal judgment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5334">
        <w:rPr>
          <w:rFonts w:ascii="Times New Roman" w:hAnsi="Times New Roman" w:cs="Times New Roman"/>
          <w:sz w:val="24"/>
          <w:szCs w:val="24"/>
        </w:rPr>
        <w:t xml:space="preserve"> in accordance with this ruling and La. Dist. Ct. R. 9.5.</w:t>
      </w:r>
    </w:p>
    <w:p w:rsidR="00325334" w:rsidRDefault="00A31871" w:rsidP="0060262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this </w:t>
      </w:r>
      <w:r w:rsidR="00711649">
        <w:rPr>
          <w:rFonts w:ascii="Times New Roman" w:hAnsi="Times New Roman" w:cs="Times New Roman"/>
          <w:sz w:val="24"/>
          <w:szCs w:val="24"/>
        </w:rPr>
        <w:t>8</w:t>
      </w:r>
      <w:r w:rsidR="00BC433D" w:rsidRPr="00BC43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of Novem</w:t>
      </w:r>
      <w:r w:rsidR="00325334">
        <w:rPr>
          <w:rFonts w:ascii="Times New Roman" w:hAnsi="Times New Roman" w:cs="Times New Roman"/>
          <w:sz w:val="24"/>
          <w:szCs w:val="24"/>
        </w:rPr>
        <w:t xml:space="preserve">ber, 2013, in Shreveport, Caddo Parish, </w:t>
      </w:r>
      <w:proofErr w:type="gramStart"/>
      <w:r w:rsidR="00325334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="003253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033ED" w:rsidRDefault="0060262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33ED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="007033ED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5334" w:rsidRPr="00A14ECA" w:rsidRDefault="00325334" w:rsidP="007033ED">
      <w:pPr>
        <w:spacing w:line="240" w:lineRule="auto"/>
        <w:ind w:left="50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>SCOTT J. CRICHTON</w:t>
      </w:r>
    </w:p>
    <w:p w:rsidR="00325334" w:rsidRPr="00A14ECA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</w:r>
      <w:r w:rsidRPr="00A14ECA">
        <w:rPr>
          <w:rFonts w:ascii="Times New Roman" w:hAnsi="Times New Roman" w:cs="Times New Roman"/>
          <w:sz w:val="24"/>
          <w:szCs w:val="24"/>
        </w:rPr>
        <w:tab/>
        <w:t xml:space="preserve">    DISTRICT JUDGE</w:t>
      </w:r>
    </w:p>
    <w:p w:rsidR="00325334" w:rsidRPr="00A14ECA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334" w:rsidRPr="00A14ECA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14ECA">
        <w:rPr>
          <w:rFonts w:ascii="Times New Roman" w:hAnsi="Times New Roman" w:cs="Times New Roman"/>
          <w:sz w:val="24"/>
          <w:szCs w:val="24"/>
          <w:u w:val="single"/>
        </w:rPr>
        <w:t>DISTRIBUTION:</w:t>
      </w:r>
    </w:p>
    <w:p w:rsidR="00325334" w:rsidRPr="00A14ECA" w:rsidRDefault="00325334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25334" w:rsidRDefault="003D2C56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B.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Gustavson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Counsel for </w:t>
      </w:r>
      <w:r w:rsidR="00711649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711649">
        <w:rPr>
          <w:rFonts w:ascii="Times New Roman" w:hAnsi="Times New Roman" w:cs="Times New Roman"/>
          <w:sz w:val="24"/>
          <w:szCs w:val="24"/>
        </w:rPr>
        <w:t>Donnan</w:t>
      </w:r>
      <w:proofErr w:type="spellEnd"/>
    </w:p>
    <w:p w:rsidR="003D2C56" w:rsidRPr="00A14ECA" w:rsidRDefault="003D2C56" w:rsidP="003253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D. White, Counsel </w:t>
      </w:r>
      <w:r w:rsidR="00711649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711649">
        <w:rPr>
          <w:rFonts w:ascii="Times New Roman" w:hAnsi="Times New Roman" w:cs="Times New Roman"/>
          <w:sz w:val="24"/>
          <w:szCs w:val="24"/>
        </w:rPr>
        <w:t>Eastex</w:t>
      </w:r>
      <w:proofErr w:type="spellEnd"/>
      <w:r w:rsidR="00711649">
        <w:rPr>
          <w:rFonts w:ascii="Times New Roman" w:hAnsi="Times New Roman" w:cs="Times New Roman"/>
          <w:sz w:val="24"/>
          <w:szCs w:val="24"/>
        </w:rPr>
        <w:t xml:space="preserve"> Materials, Inc.</w:t>
      </w:r>
    </w:p>
    <w:p w:rsidR="000A31F2" w:rsidRDefault="000A31F2"/>
    <w:sectPr w:rsidR="000A31F2" w:rsidSect="00670AB2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42" w:rsidRDefault="00544242" w:rsidP="001A6554">
      <w:pPr>
        <w:spacing w:after="0" w:line="240" w:lineRule="auto"/>
      </w:pPr>
      <w:r>
        <w:separator/>
      </w:r>
    </w:p>
  </w:endnote>
  <w:endnote w:type="continuationSeparator" w:id="0">
    <w:p w:rsidR="00544242" w:rsidRDefault="00544242" w:rsidP="001A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42" w:rsidRDefault="00544242" w:rsidP="001A6554">
      <w:pPr>
        <w:spacing w:after="0" w:line="240" w:lineRule="auto"/>
      </w:pPr>
      <w:r>
        <w:separator/>
      </w:r>
    </w:p>
  </w:footnote>
  <w:footnote w:type="continuationSeparator" w:id="0">
    <w:p w:rsidR="00544242" w:rsidRDefault="00544242" w:rsidP="001A6554">
      <w:pPr>
        <w:spacing w:after="0" w:line="240" w:lineRule="auto"/>
      </w:pPr>
      <w:r>
        <w:continuationSeparator/>
      </w:r>
    </w:p>
  </w:footnote>
  <w:footnote w:id="1">
    <w:p w:rsidR="001A6554" w:rsidRPr="003D2C56" w:rsidRDefault="001A6554">
      <w:pPr>
        <w:pStyle w:val="FootnoteText"/>
        <w:rPr>
          <w:rFonts w:ascii="Times New Roman" w:hAnsi="Times New Roman" w:cs="Times New Roman"/>
        </w:rPr>
      </w:pPr>
      <w:r w:rsidRPr="003D2C56">
        <w:rPr>
          <w:rStyle w:val="FootnoteReference"/>
          <w:rFonts w:ascii="Times New Roman" w:hAnsi="Times New Roman" w:cs="Times New Roman"/>
        </w:rPr>
        <w:footnoteRef/>
      </w:r>
      <w:r w:rsidRPr="003D2C56">
        <w:rPr>
          <w:rFonts w:ascii="Times New Roman" w:hAnsi="Times New Roman" w:cs="Times New Roman"/>
        </w:rPr>
        <w:t xml:space="preserve"> </w:t>
      </w:r>
      <w:r w:rsidRPr="003D2C56">
        <w:rPr>
          <w:rFonts w:ascii="Times New Roman" w:hAnsi="Times New Roman" w:cs="Times New Roman"/>
          <w:i/>
        </w:rPr>
        <w:t>Custom-</w:t>
      </w:r>
      <w:proofErr w:type="spellStart"/>
      <w:r w:rsidRPr="003D2C56">
        <w:rPr>
          <w:rFonts w:ascii="Times New Roman" w:hAnsi="Times New Roman" w:cs="Times New Roman"/>
          <w:i/>
        </w:rPr>
        <w:t>Bilt</w:t>
      </w:r>
      <w:proofErr w:type="spellEnd"/>
      <w:r w:rsidRPr="003D2C56">
        <w:rPr>
          <w:rFonts w:ascii="Times New Roman" w:hAnsi="Times New Roman" w:cs="Times New Roman"/>
          <w:i/>
        </w:rPr>
        <w:t xml:space="preserve"> Cabinet &amp; Supply, Inc. v. Quality Built Cabinets, Inc.</w:t>
      </w:r>
      <w:r w:rsidRPr="003D2C56">
        <w:rPr>
          <w:rFonts w:ascii="Times New Roman" w:hAnsi="Times New Roman" w:cs="Times New Roman"/>
        </w:rPr>
        <w:t xml:space="preserve">, </w:t>
      </w:r>
      <w:r w:rsidR="00A31871">
        <w:rPr>
          <w:rFonts w:ascii="Times New Roman" w:hAnsi="Times New Roman" w:cs="Times New Roman"/>
        </w:rPr>
        <w:t xml:space="preserve">32,441, </w:t>
      </w:r>
      <w:r w:rsidRPr="003D2C56">
        <w:rPr>
          <w:rFonts w:ascii="Times New Roman" w:hAnsi="Times New Roman" w:cs="Times New Roman"/>
        </w:rPr>
        <w:t>748 So.2d 594 (La. App. 2d Cir. 1999)</w:t>
      </w:r>
    </w:p>
  </w:footnote>
  <w:footnote w:id="2">
    <w:p w:rsidR="00F9778B" w:rsidRPr="003D2C56" w:rsidRDefault="00F9778B">
      <w:pPr>
        <w:pStyle w:val="FootnoteText"/>
        <w:rPr>
          <w:rFonts w:ascii="Times New Roman" w:hAnsi="Times New Roman" w:cs="Times New Roman"/>
        </w:rPr>
      </w:pPr>
      <w:r w:rsidRPr="003D2C56">
        <w:rPr>
          <w:rStyle w:val="FootnoteReference"/>
          <w:rFonts w:ascii="Times New Roman" w:hAnsi="Times New Roman" w:cs="Times New Roman"/>
        </w:rPr>
        <w:footnoteRef/>
      </w:r>
      <w:r w:rsidRPr="003D2C56">
        <w:rPr>
          <w:rFonts w:ascii="Times New Roman" w:hAnsi="Times New Roman" w:cs="Times New Roman"/>
        </w:rPr>
        <w:t xml:space="preserve"> </w:t>
      </w:r>
      <w:r w:rsidRPr="003D2C56">
        <w:rPr>
          <w:rFonts w:ascii="Times New Roman" w:hAnsi="Times New Roman" w:cs="Times New Roman"/>
          <w:i/>
        </w:rPr>
        <w:t>Id</w:t>
      </w:r>
      <w:r w:rsidRPr="003D2C56">
        <w:rPr>
          <w:rFonts w:ascii="Times New Roman" w:hAnsi="Times New Roman" w:cs="Times New Roman"/>
        </w:rPr>
        <w:t xml:space="preserve">. </w:t>
      </w:r>
      <w:r w:rsidR="003D2C56" w:rsidRPr="003D2C56">
        <w:rPr>
          <w:rFonts w:ascii="Times New Roman" w:hAnsi="Times New Roman" w:cs="Times New Roman"/>
        </w:rPr>
        <w:t>at 599</w:t>
      </w:r>
    </w:p>
  </w:footnote>
  <w:footnote w:id="3">
    <w:p w:rsidR="00711649" w:rsidRDefault="007116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B92BD0">
        <w:rPr>
          <w:rFonts w:ascii="Times New Roman" w:hAnsi="Times New Roman" w:cs="Times New Roman"/>
        </w:rPr>
        <w:t>La. Civ. Code art.</w:t>
      </w:r>
      <w:proofErr w:type="gramEnd"/>
      <w:r w:rsidRPr="00B92BD0">
        <w:rPr>
          <w:rFonts w:ascii="Times New Roman" w:hAnsi="Times New Roman" w:cs="Times New Roman"/>
        </w:rPr>
        <w:t xml:space="preserve"> 3038.</w:t>
      </w:r>
    </w:p>
  </w:footnote>
  <w:footnote w:id="4">
    <w:p w:rsidR="003D2C56" w:rsidRDefault="003D2C56">
      <w:pPr>
        <w:pStyle w:val="FootnoteText"/>
      </w:pPr>
      <w:r w:rsidRPr="003D2C56">
        <w:rPr>
          <w:rStyle w:val="FootnoteReference"/>
          <w:rFonts w:ascii="Times New Roman" w:hAnsi="Times New Roman" w:cs="Times New Roman"/>
        </w:rPr>
        <w:footnoteRef/>
      </w:r>
      <w:r w:rsidRPr="003D2C56">
        <w:rPr>
          <w:rFonts w:ascii="Times New Roman" w:hAnsi="Times New Roman" w:cs="Times New Roman"/>
        </w:rPr>
        <w:t xml:space="preserve"> </w:t>
      </w:r>
      <w:r w:rsidRPr="003D2C56">
        <w:rPr>
          <w:rFonts w:ascii="Times New Roman" w:hAnsi="Times New Roman" w:cs="Times New Roman"/>
          <w:i/>
        </w:rPr>
        <w:t>Id</w:t>
      </w:r>
      <w:r w:rsidRPr="003D2C56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4"/>
    <w:rsid w:val="000A31F2"/>
    <w:rsid w:val="001A6554"/>
    <w:rsid w:val="00313777"/>
    <w:rsid w:val="00325334"/>
    <w:rsid w:val="00330F03"/>
    <w:rsid w:val="00333A7F"/>
    <w:rsid w:val="003D2C56"/>
    <w:rsid w:val="0046720E"/>
    <w:rsid w:val="004674DD"/>
    <w:rsid w:val="00544242"/>
    <w:rsid w:val="00602624"/>
    <w:rsid w:val="006461FE"/>
    <w:rsid w:val="00670AB2"/>
    <w:rsid w:val="007033ED"/>
    <w:rsid w:val="00711649"/>
    <w:rsid w:val="00760652"/>
    <w:rsid w:val="0076365C"/>
    <w:rsid w:val="007B51E1"/>
    <w:rsid w:val="007E577A"/>
    <w:rsid w:val="00843461"/>
    <w:rsid w:val="00875174"/>
    <w:rsid w:val="00A31871"/>
    <w:rsid w:val="00AE60F8"/>
    <w:rsid w:val="00B729E1"/>
    <w:rsid w:val="00B92BD0"/>
    <w:rsid w:val="00BA7DA5"/>
    <w:rsid w:val="00BC433D"/>
    <w:rsid w:val="00C63CF1"/>
    <w:rsid w:val="00E279EC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65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5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5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65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5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5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11F9-1AC5-47D5-911B-FBED4AFB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Clerk</dc:creator>
  <cp:lastModifiedBy>LeighAnne</cp:lastModifiedBy>
  <cp:revision>4</cp:revision>
  <cp:lastPrinted>2013-11-08T16:44:00Z</cp:lastPrinted>
  <dcterms:created xsi:type="dcterms:W3CDTF">2013-11-07T19:50:00Z</dcterms:created>
  <dcterms:modified xsi:type="dcterms:W3CDTF">2013-11-08T16:44:00Z</dcterms:modified>
</cp:coreProperties>
</file>