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AEA" w:rsidRDefault="00865AEA" w:rsidP="00865AEA">
      <w:pPr>
        <w:spacing w:after="0" w:line="240" w:lineRule="auto"/>
        <w:rPr>
          <w:rFonts w:ascii="Times New Roman" w:hAnsi="Times New Roman" w:cs="Times New Roman"/>
          <w:sz w:val="24"/>
          <w:szCs w:val="24"/>
        </w:rPr>
      </w:pPr>
      <w:r>
        <w:rPr>
          <w:rFonts w:ascii="Times New Roman" w:hAnsi="Times New Roman" w:cs="Times New Roman"/>
          <w:sz w:val="24"/>
          <w:szCs w:val="24"/>
        </w:rPr>
        <w:t>NETTIE SUSAN MAY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 539</w:t>
      </w:r>
      <w:r w:rsidR="000E0023">
        <w:rPr>
          <w:rFonts w:ascii="Times New Roman" w:hAnsi="Times New Roman" w:cs="Times New Roman"/>
          <w:sz w:val="24"/>
          <w:szCs w:val="24"/>
        </w:rPr>
        <w:t>,</w:t>
      </w:r>
      <w:r>
        <w:rPr>
          <w:rFonts w:ascii="Times New Roman" w:hAnsi="Times New Roman" w:cs="Times New Roman"/>
          <w:sz w:val="24"/>
          <w:szCs w:val="24"/>
        </w:rPr>
        <w:t>517</w:t>
      </w:r>
      <w:r w:rsidR="000E0023">
        <w:rPr>
          <w:rFonts w:ascii="Times New Roman" w:hAnsi="Times New Roman" w:cs="Times New Roman"/>
          <w:sz w:val="24"/>
          <w:szCs w:val="24"/>
        </w:rPr>
        <w:t>, “</w:t>
      </w:r>
      <w:r>
        <w:rPr>
          <w:rFonts w:ascii="Times New Roman" w:hAnsi="Times New Roman" w:cs="Times New Roman"/>
          <w:sz w:val="24"/>
          <w:szCs w:val="24"/>
        </w:rPr>
        <w:t>B</w:t>
      </w:r>
      <w:r w:rsidR="000E0023">
        <w:rPr>
          <w:rFonts w:ascii="Times New Roman" w:hAnsi="Times New Roman" w:cs="Times New Roman"/>
          <w:sz w:val="24"/>
          <w:szCs w:val="24"/>
        </w:rPr>
        <w:t>”</w:t>
      </w:r>
    </w:p>
    <w:p w:rsidR="00865AEA" w:rsidRDefault="00865AEA" w:rsidP="00865AEA">
      <w:pPr>
        <w:spacing w:after="0" w:line="240" w:lineRule="auto"/>
        <w:rPr>
          <w:rFonts w:ascii="Times New Roman" w:hAnsi="Times New Roman" w:cs="Times New Roman"/>
          <w:sz w:val="24"/>
          <w:szCs w:val="24"/>
        </w:rPr>
      </w:pPr>
    </w:p>
    <w:p w:rsidR="00865AEA" w:rsidRDefault="00865AEA" w:rsidP="00865AEA">
      <w:pPr>
        <w:spacing w:after="0" w:line="240" w:lineRule="auto"/>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FIRST JUDICIAL DISTRICT COURT</w:t>
      </w:r>
    </w:p>
    <w:p w:rsidR="00865AEA" w:rsidRDefault="00865AEA" w:rsidP="00865AEA">
      <w:pPr>
        <w:spacing w:after="0" w:line="240" w:lineRule="auto"/>
        <w:rPr>
          <w:rFonts w:ascii="Times New Roman" w:hAnsi="Times New Roman" w:cs="Times New Roman"/>
          <w:sz w:val="24"/>
          <w:szCs w:val="24"/>
        </w:rPr>
      </w:pPr>
    </w:p>
    <w:p w:rsidR="00865AEA" w:rsidRDefault="00865AEA" w:rsidP="00865AEA">
      <w:pPr>
        <w:spacing w:after="0" w:line="240" w:lineRule="auto"/>
        <w:rPr>
          <w:rFonts w:ascii="Times New Roman" w:hAnsi="Times New Roman" w:cs="Times New Roman"/>
          <w:sz w:val="24"/>
          <w:szCs w:val="24"/>
        </w:rPr>
      </w:pPr>
      <w:r>
        <w:rPr>
          <w:rFonts w:ascii="Times New Roman" w:hAnsi="Times New Roman" w:cs="Times New Roman"/>
          <w:sz w:val="24"/>
          <w:szCs w:val="24"/>
        </w:rPr>
        <w:t>NOTLEY MANAGEMENT COMPANY</w:t>
      </w:r>
      <w:r w:rsidRPr="003C4DC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CADDO PARISH, LOUISIANA</w:t>
      </w:r>
    </w:p>
    <w:p w:rsidR="00865AEA" w:rsidRDefault="00865AEA" w:rsidP="00865AEA">
      <w:pPr>
        <w:spacing w:after="0" w:line="240" w:lineRule="auto"/>
        <w:rPr>
          <w:rFonts w:ascii="Times New Roman" w:hAnsi="Times New Roman" w:cs="Times New Roman"/>
          <w:sz w:val="24"/>
          <w:szCs w:val="24"/>
        </w:rPr>
      </w:pPr>
      <w:r>
        <w:rPr>
          <w:rFonts w:ascii="Times New Roman" w:hAnsi="Times New Roman" w:cs="Times New Roman"/>
          <w:sz w:val="24"/>
          <w:szCs w:val="24"/>
        </w:rPr>
        <w:t>LLC d/b/a A&amp;A TENTS, et al</w:t>
      </w:r>
    </w:p>
    <w:p w:rsidR="0023165D" w:rsidRDefault="0023165D" w:rsidP="0023165D">
      <w:pPr>
        <w:spacing w:after="0" w:line="240" w:lineRule="auto"/>
        <w:rPr>
          <w:rFonts w:ascii="Times New Roman" w:hAnsi="Times New Roman" w:cs="Times New Roman"/>
          <w:sz w:val="24"/>
          <w:szCs w:val="24"/>
        </w:rPr>
      </w:pPr>
    </w:p>
    <w:p w:rsidR="0028092E" w:rsidRDefault="0028092E" w:rsidP="0028092E">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REASONS FOR JUDGMENT ON </w:t>
      </w:r>
    </w:p>
    <w:p w:rsidR="0028092E" w:rsidRDefault="00865AEA" w:rsidP="00A47E69">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MOTION FOR SUMMARY JUDGMENT</w:t>
      </w:r>
    </w:p>
    <w:p w:rsidR="00A47E69" w:rsidRPr="00A47E69" w:rsidRDefault="00A47E69" w:rsidP="00A47E69">
      <w:pPr>
        <w:spacing w:after="0" w:line="240" w:lineRule="auto"/>
        <w:jc w:val="center"/>
        <w:rPr>
          <w:rFonts w:ascii="Times New Roman" w:hAnsi="Times New Roman" w:cs="Times New Roman"/>
          <w:b/>
          <w:sz w:val="28"/>
          <w:szCs w:val="28"/>
          <w:u w:val="single"/>
        </w:rPr>
      </w:pPr>
    </w:p>
    <w:p w:rsidR="00A47E69" w:rsidRDefault="00A47E69" w:rsidP="00A47E69">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Court has thoroughly considered the </w:t>
      </w:r>
      <w:r w:rsidR="00353C2E">
        <w:rPr>
          <w:rFonts w:ascii="Times New Roman" w:hAnsi="Times New Roman" w:cs="Times New Roman"/>
          <w:sz w:val="24"/>
          <w:szCs w:val="24"/>
        </w:rPr>
        <w:t>Motion</w:t>
      </w:r>
      <w:r w:rsidR="000E0023">
        <w:rPr>
          <w:rFonts w:ascii="Times New Roman" w:hAnsi="Times New Roman" w:cs="Times New Roman"/>
          <w:sz w:val="24"/>
          <w:szCs w:val="24"/>
        </w:rPr>
        <w:t xml:space="preserve"> for Summary Judgment, filed January 5, 2011 by </w:t>
      </w:r>
      <w:proofErr w:type="spellStart"/>
      <w:r w:rsidR="00353C2E">
        <w:rPr>
          <w:rFonts w:ascii="Times New Roman" w:hAnsi="Times New Roman" w:cs="Times New Roman"/>
          <w:sz w:val="24"/>
          <w:szCs w:val="24"/>
        </w:rPr>
        <w:t>Notley</w:t>
      </w:r>
      <w:proofErr w:type="spellEnd"/>
      <w:r w:rsidR="00353C2E">
        <w:rPr>
          <w:rFonts w:ascii="Times New Roman" w:hAnsi="Times New Roman" w:cs="Times New Roman"/>
          <w:sz w:val="24"/>
          <w:szCs w:val="24"/>
        </w:rPr>
        <w:t xml:space="preserve"> Management Company, LLC (“</w:t>
      </w:r>
      <w:proofErr w:type="spellStart"/>
      <w:r w:rsidR="00353C2E">
        <w:rPr>
          <w:rFonts w:ascii="Times New Roman" w:hAnsi="Times New Roman" w:cs="Times New Roman"/>
          <w:sz w:val="24"/>
          <w:szCs w:val="24"/>
        </w:rPr>
        <w:t>Notley</w:t>
      </w:r>
      <w:proofErr w:type="spellEnd"/>
      <w:r w:rsidR="00353C2E">
        <w:rPr>
          <w:rFonts w:ascii="Times New Roman" w:hAnsi="Times New Roman" w:cs="Times New Roman"/>
          <w:sz w:val="24"/>
          <w:szCs w:val="24"/>
        </w:rPr>
        <w:t xml:space="preserve">”); the </w:t>
      </w:r>
      <w:r w:rsidR="000E0023">
        <w:rPr>
          <w:rFonts w:ascii="Times New Roman" w:hAnsi="Times New Roman" w:cs="Times New Roman"/>
          <w:sz w:val="24"/>
          <w:szCs w:val="24"/>
        </w:rPr>
        <w:t>o</w:t>
      </w:r>
      <w:r w:rsidR="00353C2E">
        <w:rPr>
          <w:rFonts w:ascii="Times New Roman" w:hAnsi="Times New Roman" w:cs="Times New Roman"/>
          <w:sz w:val="24"/>
          <w:szCs w:val="24"/>
        </w:rPr>
        <w:t>pposi</w:t>
      </w:r>
      <w:r w:rsidR="0097522A">
        <w:rPr>
          <w:rFonts w:ascii="Times New Roman" w:hAnsi="Times New Roman" w:cs="Times New Roman"/>
          <w:sz w:val="24"/>
          <w:szCs w:val="24"/>
        </w:rPr>
        <w:t xml:space="preserve">tion filed </w:t>
      </w:r>
      <w:r w:rsidR="000E0023">
        <w:rPr>
          <w:rFonts w:ascii="Times New Roman" w:hAnsi="Times New Roman" w:cs="Times New Roman"/>
          <w:sz w:val="24"/>
          <w:szCs w:val="24"/>
        </w:rPr>
        <w:t xml:space="preserve">March 11, 2011 </w:t>
      </w:r>
      <w:r w:rsidR="0097522A">
        <w:rPr>
          <w:rFonts w:ascii="Times New Roman" w:hAnsi="Times New Roman" w:cs="Times New Roman"/>
          <w:sz w:val="24"/>
          <w:szCs w:val="24"/>
        </w:rPr>
        <w:t>by Nettie Susan May</w:t>
      </w:r>
      <w:r w:rsidR="00353C2E">
        <w:rPr>
          <w:rFonts w:ascii="Times New Roman" w:hAnsi="Times New Roman" w:cs="Times New Roman"/>
          <w:sz w:val="24"/>
          <w:szCs w:val="24"/>
        </w:rPr>
        <w:t xml:space="preserve">; </w:t>
      </w:r>
      <w:r>
        <w:rPr>
          <w:rFonts w:ascii="Times New Roman" w:hAnsi="Times New Roman" w:cs="Times New Roman"/>
          <w:sz w:val="24"/>
          <w:szCs w:val="24"/>
        </w:rPr>
        <w:t xml:space="preserve">oral arguments held on </w:t>
      </w:r>
      <w:r w:rsidR="0004696F">
        <w:rPr>
          <w:rFonts w:ascii="Times New Roman" w:hAnsi="Times New Roman" w:cs="Times New Roman"/>
          <w:sz w:val="24"/>
          <w:szCs w:val="24"/>
        </w:rPr>
        <w:t>March 21, 2011</w:t>
      </w:r>
      <w:r w:rsidR="000E0023">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0E0023">
        <w:rPr>
          <w:rFonts w:ascii="Times New Roman" w:hAnsi="Times New Roman" w:cs="Times New Roman"/>
          <w:sz w:val="24"/>
          <w:szCs w:val="24"/>
        </w:rPr>
        <w:t xml:space="preserve">a </w:t>
      </w:r>
      <w:r w:rsidR="00E1760D">
        <w:rPr>
          <w:rFonts w:ascii="Times New Roman" w:hAnsi="Times New Roman" w:cs="Times New Roman"/>
          <w:sz w:val="24"/>
          <w:szCs w:val="24"/>
        </w:rPr>
        <w:t xml:space="preserve">post hearing </w:t>
      </w:r>
      <w:r w:rsidR="000E0023">
        <w:rPr>
          <w:rFonts w:ascii="Times New Roman" w:hAnsi="Times New Roman" w:cs="Times New Roman"/>
          <w:sz w:val="24"/>
          <w:szCs w:val="24"/>
        </w:rPr>
        <w:t>memorandum filed March 2</w:t>
      </w:r>
      <w:r w:rsidR="00E1760D">
        <w:rPr>
          <w:rFonts w:ascii="Times New Roman" w:hAnsi="Times New Roman" w:cs="Times New Roman"/>
          <w:sz w:val="24"/>
          <w:szCs w:val="24"/>
        </w:rPr>
        <w:t>2</w:t>
      </w:r>
      <w:r w:rsidR="000E0023">
        <w:rPr>
          <w:rFonts w:ascii="Times New Roman" w:hAnsi="Times New Roman" w:cs="Times New Roman"/>
          <w:sz w:val="24"/>
          <w:szCs w:val="24"/>
        </w:rPr>
        <w:t xml:space="preserve">, 2011 by </w:t>
      </w:r>
      <w:proofErr w:type="spellStart"/>
      <w:r w:rsidR="000E0023">
        <w:rPr>
          <w:rFonts w:ascii="Times New Roman" w:hAnsi="Times New Roman" w:cs="Times New Roman"/>
          <w:sz w:val="24"/>
          <w:szCs w:val="24"/>
        </w:rPr>
        <w:t>Notley</w:t>
      </w:r>
      <w:proofErr w:type="spellEnd"/>
      <w:r w:rsidR="000E0023">
        <w:rPr>
          <w:rFonts w:ascii="Times New Roman" w:hAnsi="Times New Roman" w:cs="Times New Roman"/>
          <w:sz w:val="24"/>
          <w:szCs w:val="24"/>
        </w:rPr>
        <w:t xml:space="preserve">; a </w:t>
      </w:r>
      <w:r w:rsidR="00E1760D">
        <w:rPr>
          <w:rFonts w:ascii="Times New Roman" w:hAnsi="Times New Roman" w:cs="Times New Roman"/>
          <w:sz w:val="24"/>
          <w:szCs w:val="24"/>
        </w:rPr>
        <w:t xml:space="preserve">post hearing memorandum </w:t>
      </w:r>
      <w:r w:rsidR="00353C2E">
        <w:rPr>
          <w:rFonts w:ascii="Times New Roman" w:hAnsi="Times New Roman" w:cs="Times New Roman"/>
          <w:sz w:val="24"/>
          <w:szCs w:val="24"/>
        </w:rPr>
        <w:t xml:space="preserve">filed </w:t>
      </w:r>
      <w:r w:rsidR="000E0023">
        <w:rPr>
          <w:rFonts w:ascii="Times New Roman" w:hAnsi="Times New Roman" w:cs="Times New Roman"/>
          <w:sz w:val="24"/>
          <w:szCs w:val="24"/>
        </w:rPr>
        <w:t xml:space="preserve">March 23, 2011 by </w:t>
      </w:r>
      <w:r w:rsidR="00353C2E">
        <w:rPr>
          <w:rFonts w:ascii="Times New Roman" w:hAnsi="Times New Roman" w:cs="Times New Roman"/>
          <w:sz w:val="24"/>
          <w:szCs w:val="24"/>
        </w:rPr>
        <w:t>Nettie Susan May</w:t>
      </w:r>
      <w:r w:rsidR="000E0023">
        <w:rPr>
          <w:rFonts w:ascii="Times New Roman" w:hAnsi="Times New Roman" w:cs="Times New Roman"/>
          <w:sz w:val="24"/>
          <w:szCs w:val="24"/>
        </w:rPr>
        <w:t>;</w:t>
      </w:r>
      <w:r w:rsidR="00353C2E">
        <w:rPr>
          <w:rFonts w:ascii="Times New Roman" w:hAnsi="Times New Roman" w:cs="Times New Roman"/>
          <w:sz w:val="24"/>
          <w:szCs w:val="24"/>
        </w:rPr>
        <w:t xml:space="preserve"> </w:t>
      </w:r>
      <w:r>
        <w:rPr>
          <w:rFonts w:ascii="Times New Roman" w:hAnsi="Times New Roman" w:cs="Times New Roman"/>
          <w:sz w:val="24"/>
          <w:szCs w:val="24"/>
        </w:rPr>
        <w:t>the entire record and applicable law.  For reasons which follow, th</w:t>
      </w:r>
      <w:r w:rsidR="000E0023">
        <w:rPr>
          <w:rFonts w:ascii="Times New Roman" w:hAnsi="Times New Roman" w:cs="Times New Roman"/>
          <w:sz w:val="24"/>
          <w:szCs w:val="24"/>
        </w:rPr>
        <w:t>e</w:t>
      </w:r>
      <w:r>
        <w:rPr>
          <w:rFonts w:ascii="Times New Roman" w:hAnsi="Times New Roman" w:cs="Times New Roman"/>
          <w:sz w:val="24"/>
          <w:szCs w:val="24"/>
        </w:rPr>
        <w:t xml:space="preserve"> Court co</w:t>
      </w:r>
      <w:r w:rsidR="00982C65">
        <w:rPr>
          <w:rFonts w:ascii="Times New Roman" w:hAnsi="Times New Roman" w:cs="Times New Roman"/>
          <w:sz w:val="24"/>
          <w:szCs w:val="24"/>
        </w:rPr>
        <w:t>ncludes that</w:t>
      </w:r>
      <w:r w:rsidR="00D155F5">
        <w:rPr>
          <w:rFonts w:ascii="Times New Roman" w:hAnsi="Times New Roman" w:cs="Times New Roman"/>
          <w:sz w:val="24"/>
          <w:szCs w:val="24"/>
        </w:rPr>
        <w:t xml:space="preserve"> </w:t>
      </w:r>
      <w:proofErr w:type="spellStart"/>
      <w:r w:rsidR="00E1760D">
        <w:rPr>
          <w:rFonts w:ascii="Times New Roman" w:hAnsi="Times New Roman" w:cs="Times New Roman"/>
          <w:sz w:val="24"/>
          <w:szCs w:val="24"/>
        </w:rPr>
        <w:t>Notley’s</w:t>
      </w:r>
      <w:proofErr w:type="spellEnd"/>
      <w:r w:rsidR="00E1760D">
        <w:rPr>
          <w:rFonts w:ascii="Times New Roman" w:hAnsi="Times New Roman" w:cs="Times New Roman"/>
          <w:sz w:val="24"/>
          <w:szCs w:val="24"/>
        </w:rPr>
        <w:t xml:space="preserve"> </w:t>
      </w:r>
      <w:r w:rsidR="00D155F5">
        <w:rPr>
          <w:rFonts w:ascii="Times New Roman" w:hAnsi="Times New Roman" w:cs="Times New Roman"/>
          <w:sz w:val="24"/>
          <w:szCs w:val="24"/>
        </w:rPr>
        <w:t>Motion for Summary Judgment should be granted</w:t>
      </w:r>
      <w:r>
        <w:rPr>
          <w:rFonts w:ascii="Times New Roman" w:hAnsi="Times New Roman" w:cs="Times New Roman"/>
          <w:sz w:val="24"/>
          <w:szCs w:val="24"/>
        </w:rPr>
        <w:t xml:space="preserve">. </w:t>
      </w:r>
    </w:p>
    <w:p w:rsidR="000F2750" w:rsidRDefault="00F5090C" w:rsidP="00FA7D2B">
      <w:pPr>
        <w:spacing w:after="0" w:line="480" w:lineRule="auto"/>
        <w:rPr>
          <w:rFonts w:ascii="Times New Roman" w:eastAsia="Times New Roman" w:hAnsi="Times New Roman" w:cs="Times New Roman"/>
          <w:sz w:val="24"/>
          <w:szCs w:val="24"/>
        </w:rPr>
      </w:pPr>
      <w:r>
        <w:rPr>
          <w:rFonts w:ascii="Times New Roman" w:hAnsi="Times New Roman" w:cs="Times New Roman"/>
          <w:sz w:val="24"/>
          <w:szCs w:val="24"/>
        </w:rPr>
        <w:tab/>
      </w:r>
      <w:r w:rsidR="00512CC4">
        <w:rPr>
          <w:rFonts w:ascii="Times New Roman" w:hAnsi="Times New Roman" w:cs="Times New Roman"/>
          <w:sz w:val="24"/>
          <w:szCs w:val="24"/>
        </w:rPr>
        <w:t xml:space="preserve"> </w:t>
      </w:r>
      <w:r w:rsidR="00FA7D2B">
        <w:rPr>
          <w:rFonts w:ascii="Times New Roman" w:hAnsi="Times New Roman" w:cs="Times New Roman"/>
          <w:sz w:val="24"/>
          <w:szCs w:val="24"/>
        </w:rPr>
        <w:t>In order for Plaintiff, Nettie Susan May, to succeed at trial, she must establish that all elements of a cause of action in negligence have been met.  These are:</w:t>
      </w:r>
      <w:r w:rsidR="00FA7D2B" w:rsidRPr="00FA7D2B">
        <w:t xml:space="preserve"> </w:t>
      </w:r>
      <w:r w:rsidR="00FA7D2B">
        <w:t>“</w:t>
      </w:r>
      <w:r w:rsidR="00FA7D2B" w:rsidRPr="00FA7D2B">
        <w:rPr>
          <w:rFonts w:ascii="Times New Roman" w:eastAsia="Times New Roman" w:hAnsi="Times New Roman" w:cs="Times New Roman"/>
          <w:sz w:val="24"/>
          <w:szCs w:val="24"/>
        </w:rPr>
        <w:t>(1) proof that the defendant's substandard conduct was a cause-in-fact of the plaintiff's</w:t>
      </w:r>
      <w:r w:rsidR="000E0023">
        <w:rPr>
          <w:rFonts w:ascii="Times New Roman" w:eastAsia="Times New Roman" w:hAnsi="Times New Roman" w:cs="Times New Roman"/>
          <w:sz w:val="24"/>
          <w:szCs w:val="24"/>
        </w:rPr>
        <w:t xml:space="preserve"> injury</w:t>
      </w:r>
      <w:r w:rsidR="00FA7D2B" w:rsidRPr="00FA7D2B">
        <w:rPr>
          <w:rFonts w:ascii="Times New Roman" w:eastAsia="Times New Roman" w:hAnsi="Times New Roman" w:cs="Times New Roman"/>
          <w:sz w:val="24"/>
          <w:szCs w:val="24"/>
        </w:rPr>
        <w:t>; (2) proof that the defendant's conduct failed to conform to the appropriate standard; (3) proof that the defendant had a duty to conform his conduct to a specific standard; (4) proof that the defendant's substandard conduct was a legal cause of the plaintiff's injuries; and (5) proof of actu</w:t>
      </w:r>
      <w:r w:rsidR="009E7599">
        <w:rPr>
          <w:rFonts w:ascii="Times New Roman" w:eastAsia="Times New Roman" w:hAnsi="Times New Roman" w:cs="Times New Roman"/>
          <w:sz w:val="24"/>
          <w:szCs w:val="24"/>
        </w:rPr>
        <w:t>al damages</w:t>
      </w:r>
      <w:r w:rsidR="00FA7D2B">
        <w:rPr>
          <w:rFonts w:ascii="Times New Roman" w:eastAsia="Times New Roman" w:hAnsi="Times New Roman" w:cs="Times New Roman"/>
          <w:sz w:val="24"/>
          <w:szCs w:val="24"/>
        </w:rPr>
        <w:t xml:space="preserve">.”  </w:t>
      </w:r>
      <w:proofErr w:type="gramStart"/>
      <w:r w:rsidR="00FA7D2B" w:rsidRPr="00FA7D2B">
        <w:rPr>
          <w:rFonts w:ascii="Times New Roman" w:eastAsia="Times New Roman" w:hAnsi="Times New Roman" w:cs="Times New Roman"/>
          <w:sz w:val="24"/>
          <w:szCs w:val="24"/>
          <w:u w:val="single"/>
        </w:rPr>
        <w:t>Perkins v. Entergy Corp.</w:t>
      </w:r>
      <w:r w:rsidR="00FA7D2B" w:rsidRPr="00FA7D2B">
        <w:rPr>
          <w:rFonts w:ascii="Times New Roman" w:eastAsia="Times New Roman" w:hAnsi="Times New Roman" w:cs="Times New Roman"/>
          <w:sz w:val="24"/>
          <w:szCs w:val="24"/>
        </w:rPr>
        <w:t xml:space="preserve">, 2000-1372 </w:t>
      </w:r>
      <w:r w:rsidR="00FA7D2B">
        <w:rPr>
          <w:rFonts w:ascii="Times New Roman" w:eastAsia="Times New Roman" w:hAnsi="Times New Roman" w:cs="Times New Roman"/>
          <w:sz w:val="24"/>
          <w:szCs w:val="24"/>
        </w:rPr>
        <w:t>(</w:t>
      </w:r>
      <w:r w:rsidR="00FA7D2B" w:rsidRPr="00FA7D2B">
        <w:rPr>
          <w:rFonts w:ascii="Times New Roman" w:eastAsia="Times New Roman" w:hAnsi="Times New Roman" w:cs="Times New Roman"/>
          <w:sz w:val="24"/>
          <w:szCs w:val="24"/>
        </w:rPr>
        <w:t>La. 3/23/01</w:t>
      </w:r>
      <w:r w:rsidR="006951B7">
        <w:rPr>
          <w:rFonts w:ascii="Times New Roman" w:eastAsia="Times New Roman" w:hAnsi="Times New Roman" w:cs="Times New Roman"/>
          <w:sz w:val="24"/>
          <w:szCs w:val="24"/>
        </w:rPr>
        <w:t>),</w:t>
      </w:r>
      <w:r w:rsidR="009950D2">
        <w:rPr>
          <w:rFonts w:ascii="Times New Roman" w:eastAsia="Times New Roman" w:hAnsi="Times New Roman" w:cs="Times New Roman"/>
          <w:sz w:val="24"/>
          <w:szCs w:val="24"/>
        </w:rPr>
        <w:t xml:space="preserve"> 782 So.</w:t>
      </w:r>
      <w:r w:rsidR="00FA7D2B" w:rsidRPr="00FA7D2B">
        <w:rPr>
          <w:rFonts w:ascii="Times New Roman" w:eastAsia="Times New Roman" w:hAnsi="Times New Roman" w:cs="Times New Roman"/>
          <w:sz w:val="24"/>
          <w:szCs w:val="24"/>
        </w:rPr>
        <w:t>2d 606, 611</w:t>
      </w:r>
      <w:r w:rsidR="00FA7D2B">
        <w:rPr>
          <w:rFonts w:ascii="Times New Roman" w:eastAsia="Times New Roman" w:hAnsi="Times New Roman" w:cs="Times New Roman"/>
          <w:sz w:val="24"/>
          <w:szCs w:val="24"/>
        </w:rPr>
        <w:t>.</w:t>
      </w:r>
      <w:proofErr w:type="gramEnd"/>
      <w:r w:rsidR="00FA7D2B">
        <w:rPr>
          <w:rFonts w:ascii="Times New Roman" w:eastAsia="Times New Roman" w:hAnsi="Times New Roman" w:cs="Times New Roman"/>
          <w:sz w:val="24"/>
          <w:szCs w:val="24"/>
        </w:rPr>
        <w:t xml:space="preserve">  </w:t>
      </w:r>
    </w:p>
    <w:p w:rsidR="000F2750" w:rsidRPr="00231EF2" w:rsidRDefault="000F2750" w:rsidP="000B2F1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w:t>
      </w:r>
      <w:r w:rsidR="00BC0A3F">
        <w:rPr>
          <w:rFonts w:ascii="Times New Roman" w:eastAsia="Times New Roman" w:hAnsi="Times New Roman" w:cs="Times New Roman"/>
          <w:sz w:val="24"/>
          <w:szCs w:val="24"/>
        </w:rPr>
        <w:t>uisiana courts have employed the</w:t>
      </w:r>
      <w:r>
        <w:rPr>
          <w:rFonts w:ascii="Times New Roman" w:eastAsia="Times New Roman" w:hAnsi="Times New Roman" w:cs="Times New Roman"/>
          <w:sz w:val="24"/>
          <w:szCs w:val="24"/>
        </w:rPr>
        <w:t xml:space="preserve"> “ease of association”</w:t>
      </w:r>
      <w:r w:rsidR="00BC0A3F">
        <w:rPr>
          <w:rFonts w:ascii="Times New Roman" w:eastAsia="Times New Roman" w:hAnsi="Times New Roman" w:cs="Times New Roman"/>
          <w:sz w:val="24"/>
          <w:szCs w:val="24"/>
        </w:rPr>
        <w:t xml:space="preserve"> test to determine </w:t>
      </w:r>
      <w:r>
        <w:rPr>
          <w:rFonts w:ascii="Times New Roman" w:eastAsia="Times New Roman" w:hAnsi="Times New Roman" w:cs="Times New Roman"/>
          <w:sz w:val="24"/>
          <w:szCs w:val="24"/>
        </w:rPr>
        <w:t>whether the defendant’s conduct is the legal, or proximate, cause of the alleged injuries.</w:t>
      </w:r>
      <w:r w:rsidR="00BC0A3F">
        <w:rPr>
          <w:rFonts w:ascii="Times New Roman" w:eastAsia="Times New Roman" w:hAnsi="Times New Roman" w:cs="Times New Roman"/>
          <w:sz w:val="24"/>
          <w:szCs w:val="24"/>
        </w:rPr>
        <w:t xml:space="preserve"> </w:t>
      </w:r>
      <w:r w:rsidR="000B2F1C">
        <w:rPr>
          <w:rFonts w:ascii="Times New Roman" w:eastAsia="Times New Roman" w:hAnsi="Times New Roman" w:cs="Times New Roman"/>
          <w:sz w:val="24"/>
          <w:szCs w:val="24"/>
        </w:rPr>
        <w:t xml:space="preserve">To show “ease of association”, it must be determined whether the specified duty “is intended to protect this plaintiff from this type of harm arising in this manner.”  </w:t>
      </w:r>
      <w:proofErr w:type="spellStart"/>
      <w:proofErr w:type="gramStart"/>
      <w:r w:rsidR="000B2F1C">
        <w:rPr>
          <w:rFonts w:ascii="Times New Roman" w:eastAsia="Times New Roman" w:hAnsi="Times New Roman" w:cs="Times New Roman"/>
          <w:sz w:val="24"/>
          <w:szCs w:val="24"/>
          <w:u w:val="single"/>
        </w:rPr>
        <w:t>Rando</w:t>
      </w:r>
      <w:proofErr w:type="spellEnd"/>
      <w:r w:rsidR="000B2F1C">
        <w:rPr>
          <w:rFonts w:ascii="Times New Roman" w:eastAsia="Times New Roman" w:hAnsi="Times New Roman" w:cs="Times New Roman"/>
          <w:sz w:val="24"/>
          <w:szCs w:val="24"/>
          <w:u w:val="single"/>
        </w:rPr>
        <w:t xml:space="preserve"> v. </w:t>
      </w:r>
      <w:proofErr w:type="spellStart"/>
      <w:r w:rsidR="000B2F1C">
        <w:rPr>
          <w:rFonts w:ascii="Times New Roman" w:eastAsia="Times New Roman" w:hAnsi="Times New Roman" w:cs="Times New Roman"/>
          <w:sz w:val="24"/>
          <w:szCs w:val="24"/>
          <w:u w:val="single"/>
        </w:rPr>
        <w:t>Anco</w:t>
      </w:r>
      <w:proofErr w:type="spellEnd"/>
      <w:r w:rsidR="000B2F1C">
        <w:rPr>
          <w:rFonts w:ascii="Times New Roman" w:eastAsia="Times New Roman" w:hAnsi="Times New Roman" w:cs="Times New Roman"/>
          <w:sz w:val="24"/>
          <w:szCs w:val="24"/>
          <w:u w:val="single"/>
        </w:rPr>
        <w:t xml:space="preserve"> Insulations, Inc.</w:t>
      </w:r>
      <w:r w:rsidR="000B2F1C">
        <w:rPr>
          <w:rFonts w:ascii="Times New Roman" w:eastAsia="Times New Roman" w:hAnsi="Times New Roman" w:cs="Times New Roman"/>
          <w:sz w:val="24"/>
          <w:szCs w:val="24"/>
        </w:rPr>
        <w:t xml:space="preserve">, 2008 -1163 (La. 5/22/09), 16 So.3d 1065, 1088; citing </w:t>
      </w:r>
      <w:proofErr w:type="spellStart"/>
      <w:r w:rsidR="000B2F1C">
        <w:rPr>
          <w:rFonts w:ascii="Times New Roman" w:eastAsia="Times New Roman" w:hAnsi="Times New Roman" w:cs="Times New Roman"/>
          <w:sz w:val="24"/>
          <w:szCs w:val="24"/>
          <w:u w:val="single"/>
        </w:rPr>
        <w:t>Faucheaux</w:t>
      </w:r>
      <w:proofErr w:type="spellEnd"/>
      <w:r w:rsidR="000B2F1C">
        <w:rPr>
          <w:rFonts w:ascii="Times New Roman" w:eastAsia="Times New Roman" w:hAnsi="Times New Roman" w:cs="Times New Roman"/>
          <w:sz w:val="24"/>
          <w:szCs w:val="24"/>
          <w:u w:val="single"/>
        </w:rPr>
        <w:t xml:space="preserve"> v. Terrebonne Consol. Gov’t</w:t>
      </w:r>
      <w:r w:rsidR="000B2F1C">
        <w:rPr>
          <w:rFonts w:ascii="Times New Roman" w:eastAsia="Times New Roman" w:hAnsi="Times New Roman" w:cs="Times New Roman"/>
          <w:sz w:val="24"/>
          <w:szCs w:val="24"/>
        </w:rPr>
        <w:t>, 615 So.2d 289, 293 (La.1993).</w:t>
      </w:r>
      <w:proofErr w:type="gramEnd"/>
      <w:r w:rsidR="00BC0A3F">
        <w:rPr>
          <w:rFonts w:ascii="Times New Roman" w:eastAsia="Times New Roman" w:hAnsi="Times New Roman" w:cs="Times New Roman"/>
          <w:sz w:val="24"/>
          <w:szCs w:val="24"/>
        </w:rPr>
        <w:t xml:space="preserve">   </w:t>
      </w:r>
      <w:r w:rsidR="009950D2">
        <w:rPr>
          <w:rFonts w:ascii="Times New Roman" w:eastAsia="Times New Roman" w:hAnsi="Times New Roman" w:cs="Times New Roman"/>
          <w:sz w:val="24"/>
          <w:szCs w:val="24"/>
        </w:rPr>
        <w:t xml:space="preserve">In short, Louisiana courts </w:t>
      </w:r>
      <w:r w:rsidR="0000395F">
        <w:rPr>
          <w:rFonts w:ascii="Times New Roman" w:eastAsia="Times New Roman" w:hAnsi="Times New Roman" w:cs="Times New Roman"/>
          <w:sz w:val="24"/>
          <w:szCs w:val="24"/>
        </w:rPr>
        <w:t>have rejected the notion that one event is the legal cause of another simply because the first event occurred prior to the second and found that a “mere temporal relationship does not establish causation.”</w:t>
      </w:r>
      <w:r w:rsidR="009950D2">
        <w:rPr>
          <w:rStyle w:val="FootnoteReference"/>
          <w:rFonts w:ascii="Times New Roman" w:eastAsia="Times New Roman" w:hAnsi="Times New Roman" w:cs="Times New Roman"/>
          <w:sz w:val="24"/>
          <w:szCs w:val="24"/>
        </w:rPr>
        <w:footnoteReference w:id="2"/>
      </w:r>
      <w:r w:rsidR="00EE7539">
        <w:rPr>
          <w:rFonts w:ascii="Times New Roman" w:eastAsia="Times New Roman" w:hAnsi="Times New Roman" w:cs="Times New Roman"/>
          <w:sz w:val="24"/>
          <w:szCs w:val="24"/>
        </w:rPr>
        <w:t xml:space="preserve">  </w:t>
      </w:r>
      <w:proofErr w:type="gramStart"/>
      <w:r w:rsidR="00183135">
        <w:rPr>
          <w:rFonts w:ascii="Times New Roman" w:eastAsia="Times New Roman" w:hAnsi="Times New Roman" w:cs="Times New Roman"/>
          <w:sz w:val="24"/>
          <w:szCs w:val="24"/>
          <w:u w:val="single"/>
        </w:rPr>
        <w:t xml:space="preserve">Polk v. </w:t>
      </w:r>
      <w:proofErr w:type="spellStart"/>
      <w:r w:rsidR="00183135">
        <w:rPr>
          <w:rFonts w:ascii="Times New Roman" w:eastAsia="Times New Roman" w:hAnsi="Times New Roman" w:cs="Times New Roman"/>
          <w:sz w:val="24"/>
          <w:szCs w:val="24"/>
          <w:u w:val="single"/>
        </w:rPr>
        <w:t>Blanque</w:t>
      </w:r>
      <w:proofErr w:type="spellEnd"/>
      <w:r w:rsidR="00183135">
        <w:rPr>
          <w:rFonts w:ascii="Times New Roman" w:eastAsia="Times New Roman" w:hAnsi="Times New Roman" w:cs="Times New Roman"/>
          <w:sz w:val="24"/>
          <w:szCs w:val="24"/>
        </w:rPr>
        <w:t xml:space="preserve">, 93-1740 (La. </w:t>
      </w:r>
      <w:r w:rsidR="00183135">
        <w:rPr>
          <w:rFonts w:ascii="Times New Roman" w:eastAsia="Times New Roman" w:hAnsi="Times New Roman" w:cs="Times New Roman"/>
          <w:sz w:val="24"/>
          <w:szCs w:val="24"/>
        </w:rPr>
        <w:lastRenderedPageBreak/>
        <w:t>App. 4</w:t>
      </w:r>
      <w:r w:rsidR="00183135" w:rsidRPr="00183135">
        <w:rPr>
          <w:rFonts w:ascii="Times New Roman" w:eastAsia="Times New Roman" w:hAnsi="Times New Roman" w:cs="Times New Roman"/>
          <w:sz w:val="24"/>
          <w:szCs w:val="24"/>
          <w:vertAlign w:val="superscript"/>
        </w:rPr>
        <w:t>th</w:t>
      </w:r>
      <w:r w:rsidR="006951B7">
        <w:rPr>
          <w:rFonts w:ascii="Times New Roman" w:eastAsia="Times New Roman" w:hAnsi="Times New Roman" w:cs="Times New Roman"/>
          <w:sz w:val="24"/>
          <w:szCs w:val="24"/>
        </w:rPr>
        <w:t xml:space="preserve"> Cir. 3/15/94),</w:t>
      </w:r>
      <w:r w:rsidR="00183135">
        <w:rPr>
          <w:rFonts w:ascii="Times New Roman" w:eastAsia="Times New Roman" w:hAnsi="Times New Roman" w:cs="Times New Roman"/>
          <w:sz w:val="24"/>
          <w:szCs w:val="24"/>
        </w:rPr>
        <w:t xml:space="preserve"> 633 So.2d 1382, </w:t>
      </w:r>
      <w:r w:rsidR="00231EF2">
        <w:rPr>
          <w:rFonts w:ascii="Times New Roman" w:eastAsia="Times New Roman" w:hAnsi="Times New Roman" w:cs="Times New Roman"/>
          <w:sz w:val="24"/>
          <w:szCs w:val="24"/>
        </w:rPr>
        <w:t xml:space="preserve">1387; </w:t>
      </w:r>
      <w:r w:rsidR="00231EF2">
        <w:rPr>
          <w:rFonts w:ascii="Times New Roman" w:eastAsia="Times New Roman" w:hAnsi="Times New Roman" w:cs="Times New Roman"/>
          <w:sz w:val="24"/>
          <w:szCs w:val="24"/>
          <w:u w:val="single"/>
        </w:rPr>
        <w:t xml:space="preserve">Row v. </w:t>
      </w:r>
      <w:proofErr w:type="spellStart"/>
      <w:r w:rsidR="00231EF2">
        <w:rPr>
          <w:rFonts w:ascii="Times New Roman" w:eastAsia="Times New Roman" w:hAnsi="Times New Roman" w:cs="Times New Roman"/>
          <w:sz w:val="24"/>
          <w:szCs w:val="24"/>
          <w:u w:val="single"/>
        </w:rPr>
        <w:t>Pierremont</w:t>
      </w:r>
      <w:proofErr w:type="spellEnd"/>
      <w:r w:rsidR="00231EF2">
        <w:rPr>
          <w:rFonts w:ascii="Times New Roman" w:eastAsia="Times New Roman" w:hAnsi="Times New Roman" w:cs="Times New Roman"/>
          <w:sz w:val="24"/>
          <w:szCs w:val="24"/>
          <w:u w:val="single"/>
        </w:rPr>
        <w:t xml:space="preserve"> Plaza LLC</w:t>
      </w:r>
      <w:r w:rsidR="00231EF2">
        <w:rPr>
          <w:rFonts w:ascii="Times New Roman" w:eastAsia="Times New Roman" w:hAnsi="Times New Roman" w:cs="Times New Roman"/>
          <w:sz w:val="24"/>
          <w:szCs w:val="24"/>
        </w:rPr>
        <w:t>, 35796 (La. App. 2</w:t>
      </w:r>
      <w:r w:rsidR="00231EF2" w:rsidRPr="00231EF2">
        <w:rPr>
          <w:rFonts w:ascii="Times New Roman" w:eastAsia="Times New Roman" w:hAnsi="Times New Roman" w:cs="Times New Roman"/>
          <w:sz w:val="24"/>
          <w:szCs w:val="24"/>
          <w:vertAlign w:val="superscript"/>
        </w:rPr>
        <w:t>nd</w:t>
      </w:r>
      <w:r w:rsidR="00231EF2">
        <w:rPr>
          <w:rFonts w:ascii="Times New Roman" w:eastAsia="Times New Roman" w:hAnsi="Times New Roman" w:cs="Times New Roman"/>
          <w:sz w:val="24"/>
          <w:szCs w:val="24"/>
        </w:rPr>
        <w:t xml:space="preserve"> Cir. 4/3/02), 814 So.2d 124, 129.</w:t>
      </w:r>
      <w:proofErr w:type="gramEnd"/>
    </w:p>
    <w:p w:rsidR="00556B56" w:rsidRPr="00FA7D2B" w:rsidRDefault="00E1760D" w:rsidP="009950D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Based upon this summary judgment record, the Court concludes that</w:t>
      </w:r>
      <w:r w:rsidR="000F2750">
        <w:rPr>
          <w:rFonts w:ascii="Times New Roman" w:eastAsia="Times New Roman" w:hAnsi="Times New Roman" w:cs="Times New Roman"/>
          <w:sz w:val="24"/>
          <w:szCs w:val="24"/>
        </w:rPr>
        <w:t xml:space="preserve"> Ms. May will be unable to show that </w:t>
      </w:r>
      <w:proofErr w:type="spellStart"/>
      <w:r w:rsidR="000F2750">
        <w:rPr>
          <w:rFonts w:ascii="Times New Roman" w:eastAsia="Times New Roman" w:hAnsi="Times New Roman" w:cs="Times New Roman"/>
          <w:sz w:val="24"/>
          <w:szCs w:val="24"/>
        </w:rPr>
        <w:t>Notley’s</w:t>
      </w:r>
      <w:proofErr w:type="spellEnd"/>
      <w:r w:rsidR="000F2750">
        <w:rPr>
          <w:rFonts w:ascii="Times New Roman" w:eastAsia="Times New Roman" w:hAnsi="Times New Roman" w:cs="Times New Roman"/>
          <w:sz w:val="24"/>
          <w:szCs w:val="24"/>
        </w:rPr>
        <w:t xml:space="preserve"> breach of an alleged duty was the </w:t>
      </w:r>
      <w:r w:rsidR="00E972DC">
        <w:rPr>
          <w:rFonts w:ascii="Times New Roman" w:eastAsia="Times New Roman" w:hAnsi="Times New Roman" w:cs="Times New Roman"/>
          <w:sz w:val="24"/>
          <w:szCs w:val="24"/>
        </w:rPr>
        <w:t>l</w:t>
      </w:r>
      <w:r w:rsidR="000F2750">
        <w:rPr>
          <w:rFonts w:ascii="Times New Roman" w:eastAsia="Times New Roman" w:hAnsi="Times New Roman" w:cs="Times New Roman"/>
          <w:sz w:val="24"/>
          <w:szCs w:val="24"/>
        </w:rPr>
        <w:t>egal cause of her injuries</w:t>
      </w:r>
      <w:r w:rsidR="00571557">
        <w:rPr>
          <w:rFonts w:ascii="Times New Roman" w:eastAsia="Times New Roman" w:hAnsi="Times New Roman" w:cs="Times New Roman"/>
          <w:sz w:val="24"/>
          <w:szCs w:val="24"/>
        </w:rPr>
        <w:t>.</w:t>
      </w:r>
      <w:r w:rsidR="00BC0A3F">
        <w:rPr>
          <w:rFonts w:ascii="Times New Roman" w:eastAsia="Times New Roman" w:hAnsi="Times New Roman" w:cs="Times New Roman"/>
          <w:sz w:val="24"/>
          <w:szCs w:val="24"/>
        </w:rPr>
        <w:t xml:space="preserve">  Ms. May’s granddaughter fell over the tent structure left by </w:t>
      </w:r>
      <w:proofErr w:type="spellStart"/>
      <w:r w:rsidR="00BC0A3F">
        <w:rPr>
          <w:rFonts w:ascii="Times New Roman" w:eastAsia="Times New Roman" w:hAnsi="Times New Roman" w:cs="Times New Roman"/>
          <w:sz w:val="24"/>
          <w:szCs w:val="24"/>
        </w:rPr>
        <w:t>Notley</w:t>
      </w:r>
      <w:proofErr w:type="spellEnd"/>
      <w:r w:rsidR="00BC0A3F">
        <w:rPr>
          <w:rFonts w:ascii="Times New Roman" w:eastAsia="Times New Roman" w:hAnsi="Times New Roman" w:cs="Times New Roman"/>
          <w:sz w:val="24"/>
          <w:szCs w:val="24"/>
        </w:rPr>
        <w:t>.</w:t>
      </w:r>
      <w:r w:rsidR="00571557">
        <w:rPr>
          <w:rFonts w:ascii="Times New Roman" w:eastAsia="Times New Roman" w:hAnsi="Times New Roman" w:cs="Times New Roman"/>
          <w:sz w:val="24"/>
          <w:szCs w:val="24"/>
        </w:rPr>
        <w:t xml:space="preserve">  </w:t>
      </w:r>
      <w:r w:rsidR="00BC0A3F">
        <w:rPr>
          <w:rFonts w:ascii="Times New Roman" w:eastAsia="Times New Roman" w:hAnsi="Times New Roman" w:cs="Times New Roman"/>
          <w:sz w:val="24"/>
          <w:szCs w:val="24"/>
        </w:rPr>
        <w:t xml:space="preserve">She alleges that her injuries were sustained when she picked up her granddaughter.  While it may be </w:t>
      </w:r>
      <w:r>
        <w:rPr>
          <w:rFonts w:ascii="Times New Roman" w:eastAsia="Times New Roman" w:hAnsi="Times New Roman" w:cs="Times New Roman"/>
          <w:sz w:val="24"/>
          <w:szCs w:val="24"/>
        </w:rPr>
        <w:t xml:space="preserve">arguably </w:t>
      </w:r>
      <w:r w:rsidR="00BC0A3F">
        <w:rPr>
          <w:rFonts w:ascii="Times New Roman" w:eastAsia="Times New Roman" w:hAnsi="Times New Roman" w:cs="Times New Roman"/>
          <w:sz w:val="24"/>
          <w:szCs w:val="24"/>
        </w:rPr>
        <w:t>foreseeable that a tent structure left unsupervised in a public park might cause injury to a visitor, it is less reasonable to foresee that a visitor may be injured while rendering aid t</w:t>
      </w:r>
      <w:r>
        <w:rPr>
          <w:rFonts w:ascii="Times New Roman" w:eastAsia="Times New Roman" w:hAnsi="Times New Roman" w:cs="Times New Roman"/>
          <w:sz w:val="24"/>
          <w:szCs w:val="24"/>
        </w:rPr>
        <w:t>o a party who was injured by that</w:t>
      </w:r>
      <w:r w:rsidR="00BC0A3F">
        <w:rPr>
          <w:rFonts w:ascii="Times New Roman" w:eastAsia="Times New Roman" w:hAnsi="Times New Roman" w:cs="Times New Roman"/>
          <w:sz w:val="24"/>
          <w:szCs w:val="24"/>
        </w:rPr>
        <w:t xml:space="preserve"> tent structure.  </w:t>
      </w:r>
      <w:r>
        <w:rPr>
          <w:rFonts w:ascii="Times New Roman" w:eastAsia="Times New Roman" w:hAnsi="Times New Roman" w:cs="Times New Roman"/>
          <w:sz w:val="24"/>
          <w:szCs w:val="24"/>
        </w:rPr>
        <w:t xml:space="preserve">As stated by </w:t>
      </w:r>
      <w:proofErr w:type="spellStart"/>
      <w:r>
        <w:rPr>
          <w:rFonts w:ascii="Times New Roman" w:eastAsia="Times New Roman" w:hAnsi="Times New Roman" w:cs="Times New Roman"/>
          <w:sz w:val="24"/>
          <w:szCs w:val="24"/>
        </w:rPr>
        <w:t>Notley’s</w:t>
      </w:r>
      <w:proofErr w:type="spellEnd"/>
      <w:r>
        <w:rPr>
          <w:rFonts w:ascii="Times New Roman" w:eastAsia="Times New Roman" w:hAnsi="Times New Roman" w:cs="Times New Roman"/>
          <w:sz w:val="24"/>
          <w:szCs w:val="24"/>
        </w:rPr>
        <w:t xml:space="preserve"> counsel “(the) question of law here is whether the erection of the tent encompassed the risk of harm that befell Nettie May in the manner in which the harm occurred.  More simpl</w:t>
      </w:r>
      <w:r w:rsidR="00A2732D">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stated</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is the risk that a person will strain her back picking up a four-year-old easily associated with the method of the tent’s erection?”</w:t>
      </w:r>
      <w:r>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w:t>
      </w:r>
      <w:r w:rsidR="000B2F1C">
        <w:rPr>
          <w:rFonts w:ascii="Times New Roman" w:eastAsia="Times New Roman" w:hAnsi="Times New Roman" w:cs="Times New Roman"/>
          <w:sz w:val="24"/>
          <w:szCs w:val="24"/>
        </w:rPr>
        <w:t xml:space="preserve">The Court concludes that </w:t>
      </w:r>
      <w:r w:rsidR="00BC0A3F">
        <w:rPr>
          <w:rFonts w:ascii="Times New Roman" w:eastAsia="Times New Roman" w:hAnsi="Times New Roman" w:cs="Times New Roman"/>
          <w:sz w:val="24"/>
          <w:szCs w:val="24"/>
        </w:rPr>
        <w:t xml:space="preserve">Ms. May’s injuries are simply too attenuated from </w:t>
      </w:r>
      <w:r w:rsidR="00EB7224">
        <w:rPr>
          <w:rFonts w:ascii="Times New Roman" w:eastAsia="Times New Roman" w:hAnsi="Times New Roman" w:cs="Times New Roman"/>
          <w:sz w:val="24"/>
          <w:szCs w:val="24"/>
        </w:rPr>
        <w:t xml:space="preserve">conduct of </w:t>
      </w:r>
      <w:proofErr w:type="spellStart"/>
      <w:r w:rsidR="00EB7224">
        <w:rPr>
          <w:rFonts w:ascii="Times New Roman" w:eastAsia="Times New Roman" w:hAnsi="Times New Roman" w:cs="Times New Roman"/>
          <w:sz w:val="24"/>
          <w:szCs w:val="24"/>
        </w:rPr>
        <w:t>Notley</w:t>
      </w:r>
      <w:proofErr w:type="spellEnd"/>
      <w:r w:rsidR="00BC0A3F">
        <w:rPr>
          <w:rFonts w:ascii="Times New Roman" w:eastAsia="Times New Roman" w:hAnsi="Times New Roman" w:cs="Times New Roman"/>
          <w:sz w:val="24"/>
          <w:szCs w:val="24"/>
        </w:rPr>
        <w:t xml:space="preserve">.  </w:t>
      </w:r>
      <w:r w:rsidR="00D50D1F">
        <w:rPr>
          <w:rFonts w:ascii="Times New Roman" w:eastAsia="Times New Roman" w:hAnsi="Times New Roman" w:cs="Times New Roman"/>
          <w:sz w:val="24"/>
          <w:szCs w:val="24"/>
        </w:rPr>
        <w:t xml:space="preserve">Because Ms. May will be unable to establish that </w:t>
      </w:r>
      <w:proofErr w:type="spellStart"/>
      <w:r w:rsidR="00D50D1F">
        <w:rPr>
          <w:rFonts w:ascii="Times New Roman" w:eastAsia="Times New Roman" w:hAnsi="Times New Roman" w:cs="Times New Roman"/>
          <w:sz w:val="24"/>
          <w:szCs w:val="24"/>
        </w:rPr>
        <w:t>Notley’s</w:t>
      </w:r>
      <w:proofErr w:type="spellEnd"/>
      <w:r w:rsidR="00D50D1F">
        <w:rPr>
          <w:rFonts w:ascii="Times New Roman" w:eastAsia="Times New Roman" w:hAnsi="Times New Roman" w:cs="Times New Roman"/>
          <w:sz w:val="24"/>
          <w:szCs w:val="24"/>
        </w:rPr>
        <w:t xml:space="preserve"> conduct is the legal cause of her injuries, she is unable to meet the required elements for a cause of action in negligence.  </w:t>
      </w:r>
    </w:p>
    <w:p w:rsidR="00562EFF" w:rsidRDefault="00562EFF" w:rsidP="00FA7D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For reasons assigned, the Court concludes that</w:t>
      </w:r>
      <w:r w:rsidR="00831609">
        <w:rPr>
          <w:rFonts w:ascii="Times New Roman" w:hAnsi="Times New Roman" w:cs="Times New Roman"/>
          <w:sz w:val="24"/>
          <w:szCs w:val="24"/>
        </w:rPr>
        <w:t xml:space="preserve"> </w:t>
      </w:r>
      <w:r w:rsidR="000E0023">
        <w:rPr>
          <w:rFonts w:ascii="Times New Roman" w:hAnsi="Times New Roman" w:cs="Times New Roman"/>
          <w:sz w:val="24"/>
          <w:szCs w:val="24"/>
        </w:rPr>
        <w:t xml:space="preserve">the Motion for Summary </w:t>
      </w:r>
      <w:r w:rsidR="00831609">
        <w:rPr>
          <w:rFonts w:ascii="Times New Roman" w:hAnsi="Times New Roman" w:cs="Times New Roman"/>
          <w:sz w:val="24"/>
          <w:szCs w:val="24"/>
        </w:rPr>
        <w:t xml:space="preserve">Judgment </w:t>
      </w:r>
      <w:r w:rsidR="000E0023">
        <w:rPr>
          <w:rFonts w:ascii="Times New Roman" w:hAnsi="Times New Roman" w:cs="Times New Roman"/>
          <w:sz w:val="24"/>
          <w:szCs w:val="24"/>
        </w:rPr>
        <w:t xml:space="preserve">filed by </w:t>
      </w:r>
      <w:proofErr w:type="spellStart"/>
      <w:r w:rsidR="000E0023">
        <w:rPr>
          <w:rFonts w:ascii="Times New Roman" w:hAnsi="Times New Roman" w:cs="Times New Roman"/>
          <w:sz w:val="24"/>
          <w:szCs w:val="24"/>
        </w:rPr>
        <w:t>Notley</w:t>
      </w:r>
      <w:proofErr w:type="spellEnd"/>
      <w:r w:rsidR="000E0023">
        <w:rPr>
          <w:rFonts w:ascii="Times New Roman" w:hAnsi="Times New Roman" w:cs="Times New Roman"/>
          <w:sz w:val="24"/>
          <w:szCs w:val="24"/>
        </w:rPr>
        <w:t xml:space="preserve"> Management Company, LLC should be </w:t>
      </w:r>
      <w:r w:rsidR="00831609">
        <w:rPr>
          <w:rFonts w:ascii="Times New Roman" w:hAnsi="Times New Roman" w:cs="Times New Roman"/>
          <w:sz w:val="24"/>
          <w:szCs w:val="24"/>
        </w:rPr>
        <w:t>granted.</w:t>
      </w:r>
    </w:p>
    <w:p w:rsidR="00E1760D" w:rsidRDefault="00E1760D" w:rsidP="000E002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Counsel shall submit a formal Judgment in accordance with La. Dist. Ct. R. 9.5.</w:t>
      </w:r>
    </w:p>
    <w:p w:rsidR="00562EFF" w:rsidRDefault="00562EFF" w:rsidP="000E002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Signed this </w:t>
      </w:r>
      <w:r w:rsidR="00E1760D">
        <w:rPr>
          <w:rFonts w:ascii="Times New Roman" w:hAnsi="Times New Roman" w:cs="Times New Roman"/>
          <w:sz w:val="24"/>
          <w:szCs w:val="24"/>
        </w:rPr>
        <w:t>30</w:t>
      </w:r>
      <w:r w:rsidR="00E1760D" w:rsidRPr="00E1760D">
        <w:rPr>
          <w:rFonts w:ascii="Times New Roman" w:hAnsi="Times New Roman" w:cs="Times New Roman"/>
          <w:sz w:val="24"/>
          <w:szCs w:val="24"/>
          <w:vertAlign w:val="superscript"/>
        </w:rPr>
        <w:t>th</w:t>
      </w:r>
      <w:r w:rsidR="00E1760D">
        <w:rPr>
          <w:rFonts w:ascii="Times New Roman" w:hAnsi="Times New Roman" w:cs="Times New Roman"/>
          <w:sz w:val="24"/>
          <w:szCs w:val="24"/>
        </w:rPr>
        <w:t xml:space="preserve"> </w:t>
      </w:r>
      <w:r>
        <w:rPr>
          <w:rFonts w:ascii="Times New Roman" w:hAnsi="Times New Roman" w:cs="Times New Roman"/>
          <w:sz w:val="24"/>
          <w:szCs w:val="24"/>
        </w:rPr>
        <w:t xml:space="preserve">day of </w:t>
      </w:r>
      <w:r w:rsidR="000E0023">
        <w:rPr>
          <w:rFonts w:ascii="Times New Roman" w:hAnsi="Times New Roman" w:cs="Times New Roman"/>
          <w:sz w:val="24"/>
          <w:szCs w:val="24"/>
        </w:rPr>
        <w:t xml:space="preserve">March, 2011 </w:t>
      </w:r>
      <w:r>
        <w:rPr>
          <w:rFonts w:ascii="Times New Roman" w:hAnsi="Times New Roman" w:cs="Times New Roman"/>
          <w:sz w:val="24"/>
          <w:szCs w:val="24"/>
        </w:rPr>
        <w:t xml:space="preserve">in Shreveport, Caddo Parish, </w:t>
      </w:r>
      <w:proofErr w:type="gramStart"/>
      <w:r>
        <w:rPr>
          <w:rFonts w:ascii="Times New Roman" w:hAnsi="Times New Roman" w:cs="Times New Roman"/>
          <w:sz w:val="24"/>
          <w:szCs w:val="24"/>
        </w:rPr>
        <w:t>Louisiana</w:t>
      </w:r>
      <w:proofErr w:type="gramEnd"/>
      <w:r>
        <w:rPr>
          <w:rFonts w:ascii="Times New Roman" w:hAnsi="Times New Roman" w:cs="Times New Roman"/>
          <w:sz w:val="24"/>
          <w:szCs w:val="24"/>
        </w:rPr>
        <w:t>.</w:t>
      </w:r>
    </w:p>
    <w:p w:rsidR="00562EFF" w:rsidRDefault="00562EFF" w:rsidP="00562EFF">
      <w:pPr>
        <w:spacing w:after="0" w:line="480" w:lineRule="auto"/>
        <w:rPr>
          <w:rFonts w:ascii="Times New Roman" w:hAnsi="Times New Roman" w:cs="Times New Roman"/>
          <w:sz w:val="24"/>
          <w:szCs w:val="24"/>
        </w:rPr>
      </w:pPr>
    </w:p>
    <w:p w:rsidR="00562EFF" w:rsidRDefault="00562EFF" w:rsidP="00562EF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rsidR="00562EFF" w:rsidRDefault="00562EFF" w:rsidP="00562EF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SCOTT J. CRICHTON</w:t>
      </w:r>
    </w:p>
    <w:p w:rsidR="00562EFF" w:rsidRDefault="00562EFF" w:rsidP="00562E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DISTRICT JUDGE</w:t>
      </w:r>
    </w:p>
    <w:p w:rsidR="00A2732D" w:rsidRDefault="00A2732D" w:rsidP="00562EFF">
      <w:pPr>
        <w:spacing w:after="0" w:line="240" w:lineRule="auto"/>
        <w:rPr>
          <w:rFonts w:ascii="Times New Roman" w:hAnsi="Times New Roman" w:cs="Times New Roman"/>
          <w:sz w:val="24"/>
          <w:szCs w:val="24"/>
        </w:rPr>
      </w:pPr>
    </w:p>
    <w:p w:rsidR="00A2732D" w:rsidRDefault="00A2732D" w:rsidP="00562EFF">
      <w:pPr>
        <w:spacing w:after="0" w:line="240" w:lineRule="auto"/>
        <w:rPr>
          <w:rFonts w:ascii="Times New Roman" w:hAnsi="Times New Roman" w:cs="Times New Roman"/>
          <w:sz w:val="24"/>
          <w:szCs w:val="24"/>
        </w:rPr>
      </w:pPr>
    </w:p>
    <w:p w:rsidR="00562EFF" w:rsidRDefault="000E0023" w:rsidP="00562EFF">
      <w:pPr>
        <w:spacing w:after="0" w:line="480" w:lineRule="auto"/>
        <w:rPr>
          <w:rFonts w:ascii="Times New Roman" w:hAnsi="Times New Roman" w:cs="Times New Roman"/>
          <w:sz w:val="24"/>
          <w:szCs w:val="24"/>
        </w:rPr>
      </w:pPr>
      <w:r w:rsidRPr="000E0023">
        <w:rPr>
          <w:rFonts w:ascii="Times New Roman" w:hAnsi="Times New Roman" w:cs="Times New Roman"/>
          <w:sz w:val="24"/>
          <w:szCs w:val="24"/>
          <w:u w:val="single"/>
        </w:rPr>
        <w:t>DISTRIBUTION</w:t>
      </w:r>
      <w:r>
        <w:rPr>
          <w:rFonts w:ascii="Times New Roman" w:hAnsi="Times New Roman" w:cs="Times New Roman"/>
          <w:sz w:val="24"/>
          <w:szCs w:val="24"/>
        </w:rPr>
        <w:t>:</w:t>
      </w:r>
    </w:p>
    <w:p w:rsidR="005E3289" w:rsidRDefault="000E0023" w:rsidP="005E3289">
      <w:pPr>
        <w:spacing w:after="0" w:line="240" w:lineRule="auto"/>
        <w:rPr>
          <w:rFonts w:ascii="Times New Roman" w:hAnsi="Times New Roman" w:cs="Times New Roman"/>
          <w:sz w:val="24"/>
          <w:szCs w:val="24"/>
        </w:rPr>
      </w:pPr>
      <w:r>
        <w:rPr>
          <w:rFonts w:ascii="Times New Roman" w:hAnsi="Times New Roman" w:cs="Times New Roman"/>
          <w:sz w:val="24"/>
          <w:szCs w:val="24"/>
        </w:rPr>
        <w:t>J</w:t>
      </w:r>
      <w:r w:rsidR="00ED1F40">
        <w:rPr>
          <w:rFonts w:ascii="Times New Roman" w:hAnsi="Times New Roman" w:cs="Times New Roman"/>
          <w:sz w:val="24"/>
          <w:szCs w:val="24"/>
        </w:rPr>
        <w:t xml:space="preserve">onathon </w:t>
      </w:r>
      <w:proofErr w:type="spellStart"/>
      <w:r w:rsidR="00ED1F40">
        <w:rPr>
          <w:rFonts w:ascii="Times New Roman" w:hAnsi="Times New Roman" w:cs="Times New Roman"/>
          <w:sz w:val="24"/>
          <w:szCs w:val="24"/>
        </w:rPr>
        <w:t>Wasielewski</w:t>
      </w:r>
      <w:proofErr w:type="spellEnd"/>
      <w:r w:rsidR="00E1760D">
        <w:rPr>
          <w:rFonts w:ascii="Times New Roman" w:hAnsi="Times New Roman" w:cs="Times New Roman"/>
          <w:sz w:val="24"/>
          <w:szCs w:val="24"/>
        </w:rPr>
        <w:t xml:space="preserve"> and Tim Fields</w:t>
      </w:r>
      <w:r w:rsidR="005E3289">
        <w:rPr>
          <w:rFonts w:ascii="Times New Roman" w:hAnsi="Times New Roman" w:cs="Times New Roman"/>
          <w:sz w:val="24"/>
          <w:szCs w:val="24"/>
        </w:rPr>
        <w:t>, counsel for Nettie Susan May</w:t>
      </w:r>
    </w:p>
    <w:p w:rsidR="005E3289" w:rsidRDefault="005E3289" w:rsidP="005E32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Ron </w:t>
      </w:r>
      <w:proofErr w:type="spellStart"/>
      <w:r>
        <w:rPr>
          <w:rFonts w:ascii="Times New Roman" w:hAnsi="Times New Roman" w:cs="Times New Roman"/>
          <w:sz w:val="24"/>
          <w:szCs w:val="24"/>
        </w:rPr>
        <w:t>Lattier</w:t>
      </w:r>
      <w:proofErr w:type="spellEnd"/>
      <w:r w:rsidR="00E1760D">
        <w:rPr>
          <w:rFonts w:ascii="Times New Roman" w:hAnsi="Times New Roman" w:cs="Times New Roman"/>
          <w:sz w:val="24"/>
          <w:szCs w:val="24"/>
        </w:rPr>
        <w:t xml:space="preserve"> and Curtis Joseph</w:t>
      </w:r>
      <w:r>
        <w:rPr>
          <w:rFonts w:ascii="Times New Roman" w:hAnsi="Times New Roman" w:cs="Times New Roman"/>
          <w:sz w:val="24"/>
          <w:szCs w:val="24"/>
        </w:rPr>
        <w:t>, counsel for the City of Shreveport</w:t>
      </w:r>
    </w:p>
    <w:p w:rsidR="005E3289" w:rsidRDefault="005E3289" w:rsidP="005E32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Michael Cooper, counsel for </w:t>
      </w:r>
      <w:proofErr w:type="spellStart"/>
      <w:r>
        <w:rPr>
          <w:rFonts w:ascii="Times New Roman" w:hAnsi="Times New Roman" w:cs="Times New Roman"/>
          <w:sz w:val="24"/>
          <w:szCs w:val="24"/>
        </w:rPr>
        <w:t>Notley</w:t>
      </w:r>
      <w:proofErr w:type="spellEnd"/>
      <w:r>
        <w:rPr>
          <w:rFonts w:ascii="Times New Roman" w:hAnsi="Times New Roman" w:cs="Times New Roman"/>
          <w:sz w:val="24"/>
          <w:szCs w:val="24"/>
        </w:rPr>
        <w:t xml:space="preserve"> Management Company and St. Paul Fire &amp; Marine Insurance Company</w:t>
      </w:r>
    </w:p>
    <w:p w:rsidR="00562EFF" w:rsidRDefault="005E3289" w:rsidP="000C3B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Charles </w:t>
      </w:r>
      <w:proofErr w:type="spellStart"/>
      <w:r>
        <w:rPr>
          <w:rFonts w:ascii="Times New Roman" w:hAnsi="Times New Roman" w:cs="Times New Roman"/>
          <w:sz w:val="24"/>
          <w:szCs w:val="24"/>
        </w:rPr>
        <w:t>Tutt</w:t>
      </w:r>
      <w:proofErr w:type="spellEnd"/>
      <w:r>
        <w:rPr>
          <w:rFonts w:ascii="Times New Roman" w:hAnsi="Times New Roman" w:cs="Times New Roman"/>
          <w:sz w:val="24"/>
          <w:szCs w:val="24"/>
        </w:rPr>
        <w:t>, counsel for State Farm Fire &amp; Casualty Company</w:t>
      </w:r>
    </w:p>
    <w:sectPr w:rsidR="00562EFF" w:rsidSect="000C3BE7">
      <w:footerReference w:type="default" r:id="rId8"/>
      <w:pgSz w:w="12240" w:h="20160" w:code="5"/>
      <w:pgMar w:top="288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98C" w:rsidRDefault="00C8398C" w:rsidP="00D63B67">
      <w:pPr>
        <w:spacing w:after="0" w:line="240" w:lineRule="auto"/>
      </w:pPr>
      <w:r>
        <w:separator/>
      </w:r>
    </w:p>
  </w:endnote>
  <w:endnote w:type="continuationSeparator" w:id="0">
    <w:p w:rsidR="00C8398C" w:rsidRDefault="00C8398C" w:rsidP="00D63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557803"/>
      <w:docPartObj>
        <w:docPartGallery w:val="Page Numbers (Bottom of Page)"/>
        <w:docPartUnique/>
      </w:docPartObj>
    </w:sdtPr>
    <w:sdtEndPr/>
    <w:sdtContent>
      <w:sdt>
        <w:sdtPr>
          <w:id w:val="-1669238322"/>
          <w:docPartObj>
            <w:docPartGallery w:val="Page Numbers (Top of Page)"/>
            <w:docPartUnique/>
          </w:docPartObj>
        </w:sdtPr>
        <w:sdtEndPr/>
        <w:sdtContent>
          <w:p w:rsidR="000E0023" w:rsidRDefault="000E00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2732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732D">
              <w:rPr>
                <w:b/>
                <w:bCs/>
                <w:noProof/>
              </w:rPr>
              <w:t>2</w:t>
            </w:r>
            <w:r>
              <w:rPr>
                <w:b/>
                <w:bCs/>
                <w:sz w:val="24"/>
                <w:szCs w:val="24"/>
              </w:rPr>
              <w:fldChar w:fldCharType="end"/>
            </w:r>
          </w:p>
        </w:sdtContent>
      </w:sdt>
    </w:sdtContent>
  </w:sdt>
  <w:p w:rsidR="000E0023" w:rsidRDefault="000E0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98C" w:rsidRDefault="00C8398C" w:rsidP="00D63B67">
      <w:pPr>
        <w:spacing w:after="0" w:line="240" w:lineRule="auto"/>
      </w:pPr>
      <w:r>
        <w:separator/>
      </w:r>
    </w:p>
  </w:footnote>
  <w:footnote w:type="continuationSeparator" w:id="0">
    <w:p w:rsidR="00C8398C" w:rsidRDefault="00C8398C" w:rsidP="00D63B67">
      <w:pPr>
        <w:spacing w:after="0" w:line="240" w:lineRule="auto"/>
      </w:pPr>
      <w:r>
        <w:continuationSeparator/>
      </w:r>
    </w:p>
  </w:footnote>
  <w:footnote w:id="1">
    <w:p w:rsidR="000E0023" w:rsidRDefault="000E0023">
      <w:pPr>
        <w:pStyle w:val="FootnoteText"/>
      </w:pPr>
      <w:r>
        <w:rPr>
          <w:rStyle w:val="FootnoteReference"/>
        </w:rPr>
        <w:footnoteRef/>
      </w:r>
      <w:r w:rsidR="00E1760D">
        <w:t xml:space="preserve"> Following oral arguments on </w:t>
      </w:r>
      <w:r>
        <w:t>March 21, 2011, the Court granted motion</w:t>
      </w:r>
      <w:r w:rsidR="00A2732D">
        <w:t>s</w:t>
      </w:r>
      <w:r w:rsidR="000B2F1C">
        <w:t xml:space="preserve"> for summary judgment filed </w:t>
      </w:r>
      <w:r>
        <w:t>by City of Shreveport and State Farm Fire and Casualty Company.</w:t>
      </w:r>
    </w:p>
  </w:footnote>
  <w:footnote w:id="2">
    <w:p w:rsidR="009950D2" w:rsidRPr="006951B7" w:rsidRDefault="009950D2">
      <w:pPr>
        <w:pStyle w:val="FootnoteText"/>
      </w:pPr>
      <w:r>
        <w:rPr>
          <w:rStyle w:val="FootnoteReference"/>
        </w:rPr>
        <w:footnoteRef/>
      </w:r>
      <w:r>
        <w:t xml:space="preserve"> See </w:t>
      </w:r>
      <w:proofErr w:type="spellStart"/>
      <w:r w:rsidR="006951B7">
        <w:rPr>
          <w:u w:val="single"/>
        </w:rPr>
        <w:t>Pardue</w:t>
      </w:r>
      <w:proofErr w:type="spellEnd"/>
      <w:r w:rsidR="006951B7">
        <w:rPr>
          <w:u w:val="single"/>
        </w:rPr>
        <w:t xml:space="preserve"> v. AT&amp;T Telephone</w:t>
      </w:r>
      <w:r w:rsidR="006951B7">
        <w:t>, 01-0762 (La. App. 3</w:t>
      </w:r>
      <w:r w:rsidR="006951B7" w:rsidRPr="006951B7">
        <w:rPr>
          <w:vertAlign w:val="superscript"/>
        </w:rPr>
        <w:t>rd</w:t>
      </w:r>
      <w:r w:rsidR="006951B7">
        <w:t xml:space="preserve"> Cir. 10/12/01), 799 So.2d 710</w:t>
      </w:r>
      <w:r w:rsidR="00D91917">
        <w:t xml:space="preserve"> (telephone manufacturer &amp; electric company not liable for power surge caused by squirrel in electrical transformer)</w:t>
      </w:r>
      <w:r w:rsidR="006951B7">
        <w:t xml:space="preserve">; </w:t>
      </w:r>
      <w:proofErr w:type="spellStart"/>
      <w:r w:rsidR="006951B7">
        <w:rPr>
          <w:u w:val="single"/>
        </w:rPr>
        <w:t>Pitre</w:t>
      </w:r>
      <w:proofErr w:type="spellEnd"/>
      <w:r w:rsidR="006951B7">
        <w:rPr>
          <w:u w:val="single"/>
        </w:rPr>
        <w:t xml:space="preserve"> v. Louisiana Tech University</w:t>
      </w:r>
      <w:r w:rsidR="006951B7">
        <w:t>, 955-1466, 95-1487 (La. 5/10/96), 673 So.2d 585</w:t>
      </w:r>
      <w:r w:rsidR="00D91917">
        <w:t xml:space="preserve"> (university not l</w:t>
      </w:r>
      <w:r w:rsidR="007B5430">
        <w:t>iable for injury to student who</w:t>
      </w:r>
      <w:r w:rsidR="00D91917">
        <w:t>, while engaged in sledding on campus, struck a light pole in a parking lot)</w:t>
      </w:r>
      <w:r w:rsidR="006951B7">
        <w:t>.</w:t>
      </w:r>
    </w:p>
  </w:footnote>
  <w:footnote w:id="3">
    <w:p w:rsidR="00E1760D" w:rsidRDefault="00E1760D">
      <w:pPr>
        <w:pStyle w:val="FootnoteText"/>
      </w:pPr>
      <w:bookmarkStart w:id="0" w:name="_GoBack"/>
      <w:bookmarkEnd w:id="0"/>
      <w:r>
        <w:rPr>
          <w:rStyle w:val="FootnoteReference"/>
        </w:rPr>
        <w:footnoteRef/>
      </w:r>
      <w:r>
        <w:t xml:space="preserve"> See </w:t>
      </w:r>
      <w:proofErr w:type="spellStart"/>
      <w:r>
        <w:t>Notley’s</w:t>
      </w:r>
      <w:proofErr w:type="spellEnd"/>
      <w:r>
        <w:t xml:space="preserve"> memorandum, page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7D"/>
    <w:rsid w:val="0000395F"/>
    <w:rsid w:val="0004696F"/>
    <w:rsid w:val="00054172"/>
    <w:rsid w:val="000579C1"/>
    <w:rsid w:val="00066507"/>
    <w:rsid w:val="000A0FCB"/>
    <w:rsid w:val="000B2F1C"/>
    <w:rsid w:val="000B3C5D"/>
    <w:rsid w:val="000C1220"/>
    <w:rsid w:val="000C3BE7"/>
    <w:rsid w:val="000D1120"/>
    <w:rsid w:val="000D474B"/>
    <w:rsid w:val="000E0023"/>
    <w:rsid w:val="000F2750"/>
    <w:rsid w:val="001065C6"/>
    <w:rsid w:val="00166888"/>
    <w:rsid w:val="00171915"/>
    <w:rsid w:val="00183135"/>
    <w:rsid w:val="00187109"/>
    <w:rsid w:val="001D7E9A"/>
    <w:rsid w:val="00204026"/>
    <w:rsid w:val="0023165D"/>
    <w:rsid w:val="00231EF2"/>
    <w:rsid w:val="002328DA"/>
    <w:rsid w:val="002348A8"/>
    <w:rsid w:val="0028092E"/>
    <w:rsid w:val="00281A54"/>
    <w:rsid w:val="002839DD"/>
    <w:rsid w:val="002849F2"/>
    <w:rsid w:val="0029214F"/>
    <w:rsid w:val="0029727F"/>
    <w:rsid w:val="002C0AA9"/>
    <w:rsid w:val="002C2668"/>
    <w:rsid w:val="0030067D"/>
    <w:rsid w:val="003224EC"/>
    <w:rsid w:val="003322DF"/>
    <w:rsid w:val="00334187"/>
    <w:rsid w:val="0035061B"/>
    <w:rsid w:val="00353C2E"/>
    <w:rsid w:val="00392974"/>
    <w:rsid w:val="003A550D"/>
    <w:rsid w:val="003B4AC4"/>
    <w:rsid w:val="003B4DDC"/>
    <w:rsid w:val="003C4DC5"/>
    <w:rsid w:val="003D3CFE"/>
    <w:rsid w:val="003E1A28"/>
    <w:rsid w:val="004111B9"/>
    <w:rsid w:val="00445DAA"/>
    <w:rsid w:val="00451378"/>
    <w:rsid w:val="00466CD1"/>
    <w:rsid w:val="00491F20"/>
    <w:rsid w:val="004B1D01"/>
    <w:rsid w:val="004B29A4"/>
    <w:rsid w:val="004C63BF"/>
    <w:rsid w:val="00512CC4"/>
    <w:rsid w:val="00531FC8"/>
    <w:rsid w:val="005518B4"/>
    <w:rsid w:val="00556B56"/>
    <w:rsid w:val="00562EFF"/>
    <w:rsid w:val="005703F9"/>
    <w:rsid w:val="00571557"/>
    <w:rsid w:val="00580D13"/>
    <w:rsid w:val="005879FA"/>
    <w:rsid w:val="0059559A"/>
    <w:rsid w:val="005B0630"/>
    <w:rsid w:val="005C0486"/>
    <w:rsid w:val="005C7DF9"/>
    <w:rsid w:val="005E3289"/>
    <w:rsid w:val="00611281"/>
    <w:rsid w:val="00635EFF"/>
    <w:rsid w:val="00660B3C"/>
    <w:rsid w:val="00670D3B"/>
    <w:rsid w:val="00671175"/>
    <w:rsid w:val="006951B7"/>
    <w:rsid w:val="006A10E9"/>
    <w:rsid w:val="006F52A8"/>
    <w:rsid w:val="00706836"/>
    <w:rsid w:val="007255EB"/>
    <w:rsid w:val="00742156"/>
    <w:rsid w:val="0075699F"/>
    <w:rsid w:val="0076103E"/>
    <w:rsid w:val="00761FC5"/>
    <w:rsid w:val="00786AC0"/>
    <w:rsid w:val="007939C5"/>
    <w:rsid w:val="00793F42"/>
    <w:rsid w:val="007A0D76"/>
    <w:rsid w:val="007B16AB"/>
    <w:rsid w:val="007B5430"/>
    <w:rsid w:val="007C3FC1"/>
    <w:rsid w:val="007F27A0"/>
    <w:rsid w:val="00822301"/>
    <w:rsid w:val="00831609"/>
    <w:rsid w:val="00842B7A"/>
    <w:rsid w:val="00865AEA"/>
    <w:rsid w:val="00881D43"/>
    <w:rsid w:val="00881E6B"/>
    <w:rsid w:val="00924EF2"/>
    <w:rsid w:val="00946110"/>
    <w:rsid w:val="0097522A"/>
    <w:rsid w:val="0097617D"/>
    <w:rsid w:val="0098085B"/>
    <w:rsid w:val="00982C65"/>
    <w:rsid w:val="00983726"/>
    <w:rsid w:val="009950D2"/>
    <w:rsid w:val="009E7599"/>
    <w:rsid w:val="009F1BE0"/>
    <w:rsid w:val="00A0606A"/>
    <w:rsid w:val="00A25622"/>
    <w:rsid w:val="00A25C16"/>
    <w:rsid w:val="00A2732D"/>
    <w:rsid w:val="00A45EF1"/>
    <w:rsid w:val="00A47E69"/>
    <w:rsid w:val="00AD667D"/>
    <w:rsid w:val="00AF4409"/>
    <w:rsid w:val="00B35BD0"/>
    <w:rsid w:val="00B402E9"/>
    <w:rsid w:val="00B57859"/>
    <w:rsid w:val="00B60801"/>
    <w:rsid w:val="00B75DB0"/>
    <w:rsid w:val="00B8039B"/>
    <w:rsid w:val="00BA3C11"/>
    <w:rsid w:val="00BC0A3F"/>
    <w:rsid w:val="00BF5547"/>
    <w:rsid w:val="00C02FD8"/>
    <w:rsid w:val="00C40111"/>
    <w:rsid w:val="00C557E4"/>
    <w:rsid w:val="00C8398C"/>
    <w:rsid w:val="00C865B6"/>
    <w:rsid w:val="00CB0D0E"/>
    <w:rsid w:val="00CC1367"/>
    <w:rsid w:val="00D0300E"/>
    <w:rsid w:val="00D049B2"/>
    <w:rsid w:val="00D155F5"/>
    <w:rsid w:val="00D33983"/>
    <w:rsid w:val="00D3555D"/>
    <w:rsid w:val="00D4653B"/>
    <w:rsid w:val="00D50D1F"/>
    <w:rsid w:val="00D63B67"/>
    <w:rsid w:val="00D65C21"/>
    <w:rsid w:val="00D91917"/>
    <w:rsid w:val="00DA2155"/>
    <w:rsid w:val="00DE6DA9"/>
    <w:rsid w:val="00DF2CC2"/>
    <w:rsid w:val="00DF4213"/>
    <w:rsid w:val="00E14452"/>
    <w:rsid w:val="00E1760D"/>
    <w:rsid w:val="00E32AFC"/>
    <w:rsid w:val="00E32CE0"/>
    <w:rsid w:val="00E45F28"/>
    <w:rsid w:val="00E51EFD"/>
    <w:rsid w:val="00E56E6D"/>
    <w:rsid w:val="00E972DC"/>
    <w:rsid w:val="00EA24E7"/>
    <w:rsid w:val="00EB7224"/>
    <w:rsid w:val="00EC3DD4"/>
    <w:rsid w:val="00EC79B9"/>
    <w:rsid w:val="00ED1F40"/>
    <w:rsid w:val="00EE7539"/>
    <w:rsid w:val="00F2050F"/>
    <w:rsid w:val="00F235CF"/>
    <w:rsid w:val="00F5090C"/>
    <w:rsid w:val="00F53E04"/>
    <w:rsid w:val="00F63332"/>
    <w:rsid w:val="00F72F08"/>
    <w:rsid w:val="00FA7D2B"/>
    <w:rsid w:val="00FB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33983"/>
    <w:pPr>
      <w:framePr w:w="7920" w:h="1980" w:hRule="exact" w:hSpace="180" w:wrap="auto" w:hAnchor="page" w:xAlign="center" w:yAlign="bottom"/>
      <w:spacing w:after="0" w:line="240" w:lineRule="auto"/>
      <w:ind w:left="2880"/>
    </w:pPr>
    <w:rPr>
      <w:rFonts w:ascii="French Script MT" w:eastAsiaTheme="majorEastAsia" w:hAnsi="French Script MT" w:cstheme="majorBidi"/>
      <w:sz w:val="40"/>
      <w:szCs w:val="24"/>
    </w:rPr>
  </w:style>
  <w:style w:type="paragraph" w:styleId="EnvelopeReturn">
    <w:name w:val="envelope return"/>
    <w:basedOn w:val="Normal"/>
    <w:uiPriority w:val="99"/>
    <w:semiHidden/>
    <w:unhideWhenUsed/>
    <w:rsid w:val="00D33983"/>
    <w:pPr>
      <w:spacing w:after="0" w:line="240" w:lineRule="auto"/>
    </w:pPr>
    <w:rPr>
      <w:rFonts w:ascii="French Script MT" w:eastAsiaTheme="majorEastAsia" w:hAnsi="French Script MT" w:cstheme="majorBidi"/>
      <w:sz w:val="28"/>
      <w:szCs w:val="20"/>
    </w:rPr>
  </w:style>
  <w:style w:type="paragraph" w:styleId="FootnoteText">
    <w:name w:val="footnote text"/>
    <w:basedOn w:val="Normal"/>
    <w:link w:val="FootnoteTextChar"/>
    <w:uiPriority w:val="99"/>
    <w:semiHidden/>
    <w:unhideWhenUsed/>
    <w:rsid w:val="00D63B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3B67"/>
    <w:rPr>
      <w:sz w:val="20"/>
      <w:szCs w:val="20"/>
    </w:rPr>
  </w:style>
  <w:style w:type="character" w:styleId="FootnoteReference">
    <w:name w:val="footnote reference"/>
    <w:basedOn w:val="DefaultParagraphFont"/>
    <w:uiPriority w:val="99"/>
    <w:semiHidden/>
    <w:unhideWhenUsed/>
    <w:rsid w:val="00D63B67"/>
    <w:rPr>
      <w:vertAlign w:val="superscript"/>
    </w:rPr>
  </w:style>
  <w:style w:type="paragraph" w:styleId="BalloonText">
    <w:name w:val="Balloon Text"/>
    <w:basedOn w:val="Normal"/>
    <w:link w:val="BalloonTextChar"/>
    <w:uiPriority w:val="99"/>
    <w:semiHidden/>
    <w:unhideWhenUsed/>
    <w:rsid w:val="00BA3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C11"/>
    <w:rPr>
      <w:rFonts w:ascii="Tahoma" w:hAnsi="Tahoma" w:cs="Tahoma"/>
      <w:sz w:val="16"/>
      <w:szCs w:val="16"/>
    </w:rPr>
  </w:style>
  <w:style w:type="character" w:styleId="Emphasis">
    <w:name w:val="Emphasis"/>
    <w:basedOn w:val="DefaultParagraphFont"/>
    <w:uiPriority w:val="20"/>
    <w:qFormat/>
    <w:rsid w:val="009950D2"/>
    <w:rPr>
      <w:i/>
      <w:iCs/>
    </w:rPr>
  </w:style>
  <w:style w:type="paragraph" w:styleId="Header">
    <w:name w:val="header"/>
    <w:basedOn w:val="Normal"/>
    <w:link w:val="HeaderChar"/>
    <w:uiPriority w:val="99"/>
    <w:unhideWhenUsed/>
    <w:rsid w:val="000E0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23"/>
  </w:style>
  <w:style w:type="paragraph" w:styleId="Footer">
    <w:name w:val="footer"/>
    <w:basedOn w:val="Normal"/>
    <w:link w:val="FooterChar"/>
    <w:uiPriority w:val="99"/>
    <w:unhideWhenUsed/>
    <w:rsid w:val="000E0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33983"/>
    <w:pPr>
      <w:framePr w:w="7920" w:h="1980" w:hRule="exact" w:hSpace="180" w:wrap="auto" w:hAnchor="page" w:xAlign="center" w:yAlign="bottom"/>
      <w:spacing w:after="0" w:line="240" w:lineRule="auto"/>
      <w:ind w:left="2880"/>
    </w:pPr>
    <w:rPr>
      <w:rFonts w:ascii="French Script MT" w:eastAsiaTheme="majorEastAsia" w:hAnsi="French Script MT" w:cstheme="majorBidi"/>
      <w:sz w:val="40"/>
      <w:szCs w:val="24"/>
    </w:rPr>
  </w:style>
  <w:style w:type="paragraph" w:styleId="EnvelopeReturn">
    <w:name w:val="envelope return"/>
    <w:basedOn w:val="Normal"/>
    <w:uiPriority w:val="99"/>
    <w:semiHidden/>
    <w:unhideWhenUsed/>
    <w:rsid w:val="00D33983"/>
    <w:pPr>
      <w:spacing w:after="0" w:line="240" w:lineRule="auto"/>
    </w:pPr>
    <w:rPr>
      <w:rFonts w:ascii="French Script MT" w:eastAsiaTheme="majorEastAsia" w:hAnsi="French Script MT" w:cstheme="majorBidi"/>
      <w:sz w:val="28"/>
      <w:szCs w:val="20"/>
    </w:rPr>
  </w:style>
  <w:style w:type="paragraph" w:styleId="FootnoteText">
    <w:name w:val="footnote text"/>
    <w:basedOn w:val="Normal"/>
    <w:link w:val="FootnoteTextChar"/>
    <w:uiPriority w:val="99"/>
    <w:semiHidden/>
    <w:unhideWhenUsed/>
    <w:rsid w:val="00D63B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3B67"/>
    <w:rPr>
      <w:sz w:val="20"/>
      <w:szCs w:val="20"/>
    </w:rPr>
  </w:style>
  <w:style w:type="character" w:styleId="FootnoteReference">
    <w:name w:val="footnote reference"/>
    <w:basedOn w:val="DefaultParagraphFont"/>
    <w:uiPriority w:val="99"/>
    <w:semiHidden/>
    <w:unhideWhenUsed/>
    <w:rsid w:val="00D63B67"/>
    <w:rPr>
      <w:vertAlign w:val="superscript"/>
    </w:rPr>
  </w:style>
  <w:style w:type="paragraph" w:styleId="BalloonText">
    <w:name w:val="Balloon Text"/>
    <w:basedOn w:val="Normal"/>
    <w:link w:val="BalloonTextChar"/>
    <w:uiPriority w:val="99"/>
    <w:semiHidden/>
    <w:unhideWhenUsed/>
    <w:rsid w:val="00BA3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C11"/>
    <w:rPr>
      <w:rFonts w:ascii="Tahoma" w:hAnsi="Tahoma" w:cs="Tahoma"/>
      <w:sz w:val="16"/>
      <w:szCs w:val="16"/>
    </w:rPr>
  </w:style>
  <w:style w:type="character" w:styleId="Emphasis">
    <w:name w:val="Emphasis"/>
    <w:basedOn w:val="DefaultParagraphFont"/>
    <w:uiPriority w:val="20"/>
    <w:qFormat/>
    <w:rsid w:val="009950D2"/>
    <w:rPr>
      <w:i/>
      <w:iCs/>
    </w:rPr>
  </w:style>
  <w:style w:type="paragraph" w:styleId="Header">
    <w:name w:val="header"/>
    <w:basedOn w:val="Normal"/>
    <w:link w:val="HeaderChar"/>
    <w:uiPriority w:val="99"/>
    <w:unhideWhenUsed/>
    <w:rsid w:val="000E0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23"/>
  </w:style>
  <w:style w:type="paragraph" w:styleId="Footer">
    <w:name w:val="footer"/>
    <w:basedOn w:val="Normal"/>
    <w:link w:val="FooterChar"/>
    <w:uiPriority w:val="99"/>
    <w:unhideWhenUsed/>
    <w:rsid w:val="000E0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555816">
      <w:bodyDiv w:val="1"/>
      <w:marLeft w:val="0"/>
      <w:marRight w:val="0"/>
      <w:marTop w:val="0"/>
      <w:marBottom w:val="0"/>
      <w:divBdr>
        <w:top w:val="none" w:sz="0" w:space="0" w:color="auto"/>
        <w:left w:val="none" w:sz="0" w:space="0" w:color="auto"/>
        <w:bottom w:val="none" w:sz="0" w:space="0" w:color="auto"/>
        <w:right w:val="none" w:sz="0" w:space="0" w:color="auto"/>
      </w:divBdr>
      <w:divsChild>
        <w:div w:id="1470589079">
          <w:marLeft w:val="0"/>
          <w:marRight w:val="0"/>
          <w:marTop w:val="0"/>
          <w:marBottom w:val="0"/>
          <w:divBdr>
            <w:top w:val="none" w:sz="0" w:space="0" w:color="auto"/>
            <w:left w:val="none" w:sz="0" w:space="0" w:color="auto"/>
            <w:bottom w:val="none" w:sz="0" w:space="0" w:color="auto"/>
            <w:right w:val="none" w:sz="0" w:space="0" w:color="auto"/>
          </w:divBdr>
          <w:divsChild>
            <w:div w:id="10419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3816">
      <w:bodyDiv w:val="1"/>
      <w:marLeft w:val="0"/>
      <w:marRight w:val="0"/>
      <w:marTop w:val="0"/>
      <w:marBottom w:val="0"/>
      <w:divBdr>
        <w:top w:val="none" w:sz="0" w:space="0" w:color="auto"/>
        <w:left w:val="none" w:sz="0" w:space="0" w:color="auto"/>
        <w:bottom w:val="none" w:sz="0" w:space="0" w:color="auto"/>
        <w:right w:val="none" w:sz="0" w:space="0" w:color="auto"/>
      </w:divBdr>
      <w:divsChild>
        <w:div w:id="2031562947">
          <w:marLeft w:val="0"/>
          <w:marRight w:val="0"/>
          <w:marTop w:val="0"/>
          <w:marBottom w:val="0"/>
          <w:divBdr>
            <w:top w:val="none" w:sz="0" w:space="0" w:color="auto"/>
            <w:left w:val="none" w:sz="0" w:space="0" w:color="auto"/>
            <w:bottom w:val="none" w:sz="0" w:space="0" w:color="auto"/>
            <w:right w:val="none" w:sz="0" w:space="0" w:color="auto"/>
          </w:divBdr>
          <w:divsChild>
            <w:div w:id="18790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B37FC-7F01-4ED5-8091-FAB6A7CC8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Clerk</dc:creator>
  <cp:keywords/>
  <dc:description/>
  <cp:lastModifiedBy>Preferred Customer</cp:lastModifiedBy>
  <cp:revision>7</cp:revision>
  <cp:lastPrinted>2011-03-30T20:42:00Z</cp:lastPrinted>
  <dcterms:created xsi:type="dcterms:W3CDTF">2011-03-29T20:58:00Z</dcterms:created>
  <dcterms:modified xsi:type="dcterms:W3CDTF">2011-03-30T20:44:00Z</dcterms:modified>
</cp:coreProperties>
</file>